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12"/>
        <w:gridCol w:w="14"/>
      </w:tblGrid>
      <w:tr w:rsidR="00CE5427" w:rsidRPr="00604B9F">
        <w:trPr>
          <w:gridAfter w:val="1"/>
          <w:wAfter w:w="14" w:type="dxa"/>
          <w:trHeight w:val="1674"/>
        </w:trPr>
        <w:tc>
          <w:tcPr>
            <w:tcW w:w="9228" w:type="dxa"/>
          </w:tcPr>
          <w:p w:rsidR="00786A49" w:rsidRPr="00604B9F" w:rsidRDefault="000A1A38" w:rsidP="000A1A38">
            <w:pPr>
              <w:jc w:val="center"/>
              <w:rPr>
                <w:rFonts w:ascii="Arial Black" w:hAnsi="Arial Black"/>
                <w:b/>
                <w:sz w:val="24"/>
                <w:szCs w:val="24"/>
              </w:rPr>
            </w:pPr>
            <w:bookmarkStart w:id="0" w:name="_GoBack"/>
            <w:bookmarkEnd w:id="0"/>
            <w:r w:rsidRPr="00604B9F">
              <w:rPr>
                <w:rFonts w:ascii="Arial Black" w:hAnsi="Arial Black"/>
                <w:b/>
                <w:sz w:val="24"/>
                <w:szCs w:val="24"/>
              </w:rPr>
              <w:t xml:space="preserve">Report of the </w:t>
            </w:r>
            <w:r w:rsidR="00872D2A">
              <w:rPr>
                <w:rFonts w:ascii="Arial Black" w:hAnsi="Arial Black"/>
                <w:b/>
                <w:sz w:val="24"/>
                <w:szCs w:val="24"/>
              </w:rPr>
              <w:t>Repairs &amp; Asset</w:t>
            </w:r>
            <w:r w:rsidR="00766470">
              <w:rPr>
                <w:rFonts w:ascii="Arial Black" w:hAnsi="Arial Black"/>
                <w:b/>
                <w:sz w:val="24"/>
                <w:szCs w:val="24"/>
              </w:rPr>
              <w:t xml:space="preserve"> </w:t>
            </w:r>
            <w:r w:rsidR="00BF25F8">
              <w:rPr>
                <w:rFonts w:ascii="Arial Black" w:hAnsi="Arial Black"/>
                <w:b/>
                <w:sz w:val="24"/>
                <w:szCs w:val="24"/>
              </w:rPr>
              <w:t>Manager</w:t>
            </w:r>
          </w:p>
          <w:p w:rsidR="00786A49" w:rsidRPr="00604B9F" w:rsidRDefault="000A1A38" w:rsidP="000A1A38">
            <w:pPr>
              <w:jc w:val="center"/>
              <w:rPr>
                <w:rFonts w:ascii="Arial Black" w:hAnsi="Arial Black"/>
                <w:b/>
                <w:sz w:val="24"/>
                <w:szCs w:val="24"/>
              </w:rPr>
            </w:pPr>
            <w:r w:rsidRPr="00604B9F">
              <w:rPr>
                <w:rFonts w:ascii="Arial Black" w:hAnsi="Arial Black"/>
                <w:b/>
                <w:sz w:val="24"/>
                <w:szCs w:val="24"/>
              </w:rPr>
              <w:t xml:space="preserve"> </w:t>
            </w:r>
            <w:r w:rsidR="00872D2A">
              <w:rPr>
                <w:rFonts w:ascii="Arial Black" w:hAnsi="Arial Black"/>
                <w:b/>
                <w:sz w:val="24"/>
                <w:szCs w:val="24"/>
              </w:rPr>
              <w:t>to</w:t>
            </w:r>
          </w:p>
          <w:p w:rsidR="000A1A38" w:rsidRPr="00604B9F" w:rsidRDefault="000A1A38" w:rsidP="000A1A38">
            <w:pPr>
              <w:jc w:val="center"/>
              <w:rPr>
                <w:rFonts w:ascii="Arial Black" w:hAnsi="Arial Black"/>
                <w:b/>
                <w:sz w:val="24"/>
                <w:szCs w:val="24"/>
              </w:rPr>
            </w:pPr>
            <w:r w:rsidRPr="00604B9F">
              <w:rPr>
                <w:rFonts w:ascii="Arial Black" w:hAnsi="Arial Black"/>
                <w:b/>
                <w:sz w:val="24"/>
                <w:szCs w:val="24"/>
              </w:rPr>
              <w:t xml:space="preserve"> the </w:t>
            </w:r>
            <w:r w:rsidR="00872D2A">
              <w:rPr>
                <w:rFonts w:ascii="Arial Black" w:hAnsi="Arial Black"/>
                <w:b/>
                <w:sz w:val="24"/>
                <w:szCs w:val="24"/>
              </w:rPr>
              <w:t>Head of Housing</w:t>
            </w:r>
          </w:p>
          <w:p w:rsidR="000A1A38" w:rsidRPr="00604B9F" w:rsidRDefault="000A1A38" w:rsidP="000A1A38">
            <w:pPr>
              <w:jc w:val="center"/>
              <w:rPr>
                <w:rFonts w:ascii="Arial Black" w:hAnsi="Arial Black"/>
                <w:b/>
                <w:sz w:val="24"/>
                <w:szCs w:val="24"/>
              </w:rPr>
            </w:pPr>
            <w:r w:rsidRPr="00604B9F">
              <w:rPr>
                <w:rFonts w:ascii="Arial Black" w:hAnsi="Arial Black" w:cs="Arial"/>
                <w:b/>
                <w:sz w:val="24"/>
                <w:szCs w:val="24"/>
              </w:rPr>
              <w:t>on</w:t>
            </w:r>
          </w:p>
          <w:p w:rsidR="00CE5427" w:rsidRPr="00604B9F" w:rsidRDefault="0000019C" w:rsidP="00916923">
            <w:pPr>
              <w:jc w:val="center"/>
              <w:rPr>
                <w:rFonts w:ascii="Arial Black" w:hAnsi="Arial Black"/>
                <w:sz w:val="24"/>
                <w:szCs w:val="24"/>
              </w:rPr>
            </w:pPr>
            <w:r w:rsidRPr="007A5B27">
              <w:rPr>
                <w:rFonts w:ascii="Arial Black" w:hAnsi="Arial Black"/>
                <w:sz w:val="24"/>
                <w:szCs w:val="24"/>
              </w:rPr>
              <w:t>13</w:t>
            </w:r>
            <w:r w:rsidR="006A1665" w:rsidRPr="007A5B27">
              <w:rPr>
                <w:rFonts w:ascii="Arial Black" w:hAnsi="Arial Black"/>
                <w:sz w:val="24"/>
                <w:szCs w:val="24"/>
              </w:rPr>
              <w:t xml:space="preserve"> July</w:t>
            </w:r>
            <w:r w:rsidR="0019438B" w:rsidRPr="007A5B27">
              <w:rPr>
                <w:rFonts w:ascii="Arial Black" w:hAnsi="Arial Black"/>
                <w:sz w:val="24"/>
                <w:szCs w:val="24"/>
              </w:rPr>
              <w:t xml:space="preserve"> 2021</w:t>
            </w:r>
          </w:p>
        </w:tc>
      </w:tr>
      <w:tr w:rsidR="00CE5427" w:rsidRPr="00604B9F">
        <w:trPr>
          <w:gridAfter w:val="1"/>
          <w:wAfter w:w="14" w:type="dxa"/>
        </w:trPr>
        <w:tc>
          <w:tcPr>
            <w:tcW w:w="9228" w:type="dxa"/>
          </w:tcPr>
          <w:p w:rsidR="00CE5427" w:rsidRPr="00604B9F" w:rsidRDefault="00CE5427" w:rsidP="0012794C">
            <w:pPr>
              <w:jc w:val="center"/>
              <w:rPr>
                <w:rFonts w:ascii="Arial Black" w:hAnsi="Arial Black"/>
                <w:sz w:val="24"/>
                <w:szCs w:val="24"/>
              </w:rPr>
            </w:pPr>
          </w:p>
        </w:tc>
      </w:tr>
      <w:tr w:rsidR="00CE5427" w:rsidRPr="00604B9F">
        <w:tc>
          <w:tcPr>
            <w:tcW w:w="9242" w:type="dxa"/>
            <w:gridSpan w:val="2"/>
            <w:tcBorders>
              <w:top w:val="single" w:sz="24" w:space="0" w:color="auto"/>
              <w:bottom w:val="single" w:sz="24" w:space="0" w:color="auto"/>
            </w:tcBorders>
          </w:tcPr>
          <w:p w:rsidR="00CE5427" w:rsidRPr="0019438B" w:rsidRDefault="00441715" w:rsidP="008C0E5B">
            <w:pPr>
              <w:spacing w:before="240" w:after="240"/>
              <w:jc w:val="center"/>
              <w:rPr>
                <w:rFonts w:cs="Arial"/>
                <w:b/>
                <w:sz w:val="24"/>
                <w:szCs w:val="24"/>
              </w:rPr>
            </w:pPr>
            <w:r>
              <w:rPr>
                <w:rFonts w:cs="Arial"/>
                <w:b/>
                <w:color w:val="000000"/>
                <w:sz w:val="24"/>
                <w:szCs w:val="24"/>
              </w:rPr>
              <w:t>Void Security and Void Cleaning Works</w:t>
            </w:r>
          </w:p>
        </w:tc>
      </w:tr>
    </w:tbl>
    <w:p w:rsidR="008518DD" w:rsidRPr="00604B9F" w:rsidRDefault="008518DD" w:rsidP="007537D0">
      <w:pPr>
        <w:rPr>
          <w:rFonts w:cs="Arial"/>
          <w:sz w:val="24"/>
          <w:szCs w:val="24"/>
        </w:rPr>
      </w:pPr>
    </w:p>
    <w:p w:rsidR="00484107" w:rsidRPr="00604B9F" w:rsidRDefault="00484107" w:rsidP="0089260C">
      <w:pPr>
        <w:rPr>
          <w:b/>
          <w:sz w:val="24"/>
          <w:szCs w:val="24"/>
        </w:rPr>
      </w:pPr>
    </w:p>
    <w:p w:rsidR="000F67FD" w:rsidRPr="00604B9F" w:rsidRDefault="008518DD" w:rsidP="00916611">
      <w:pPr>
        <w:rPr>
          <w:sz w:val="24"/>
          <w:szCs w:val="24"/>
        </w:rPr>
      </w:pPr>
      <w:r w:rsidRPr="00604B9F">
        <w:rPr>
          <w:b/>
          <w:sz w:val="24"/>
          <w:szCs w:val="24"/>
        </w:rPr>
        <w:t>1.</w:t>
      </w:r>
      <w:r w:rsidRPr="00604B9F">
        <w:rPr>
          <w:b/>
          <w:sz w:val="24"/>
          <w:szCs w:val="24"/>
        </w:rPr>
        <w:tab/>
      </w:r>
      <w:r w:rsidR="00BE210E" w:rsidRPr="00604B9F">
        <w:rPr>
          <w:b/>
          <w:sz w:val="24"/>
          <w:szCs w:val="24"/>
        </w:rPr>
        <w:t>SUMMARY</w:t>
      </w:r>
    </w:p>
    <w:p w:rsidR="000F67FD" w:rsidRPr="00604B9F" w:rsidRDefault="000F67FD" w:rsidP="00916611">
      <w:pPr>
        <w:rPr>
          <w:sz w:val="24"/>
          <w:szCs w:val="24"/>
        </w:rPr>
      </w:pPr>
    </w:p>
    <w:p w:rsidR="00531CC4" w:rsidRPr="008F210C" w:rsidRDefault="00C27065" w:rsidP="008F210C">
      <w:pPr>
        <w:pStyle w:val="ListParagraph"/>
        <w:numPr>
          <w:ilvl w:val="1"/>
          <w:numId w:val="11"/>
        </w:numPr>
        <w:rPr>
          <w:sz w:val="24"/>
          <w:szCs w:val="24"/>
        </w:rPr>
      </w:pPr>
      <w:r w:rsidRPr="008F210C">
        <w:rPr>
          <w:sz w:val="24"/>
          <w:szCs w:val="24"/>
        </w:rPr>
        <w:t xml:space="preserve">The </w:t>
      </w:r>
      <w:r w:rsidR="00B71410" w:rsidRPr="008F210C">
        <w:rPr>
          <w:sz w:val="24"/>
          <w:szCs w:val="24"/>
        </w:rPr>
        <w:t>council has</w:t>
      </w:r>
      <w:r w:rsidR="00BF25F8" w:rsidRPr="008F210C">
        <w:rPr>
          <w:sz w:val="24"/>
          <w:szCs w:val="24"/>
        </w:rPr>
        <w:t xml:space="preserve"> recently procured, through </w:t>
      </w:r>
      <w:r w:rsidR="00F60FA2" w:rsidRPr="008F210C">
        <w:rPr>
          <w:sz w:val="24"/>
          <w:szCs w:val="24"/>
        </w:rPr>
        <w:t xml:space="preserve">the </w:t>
      </w:r>
      <w:r w:rsidR="00916923" w:rsidRPr="008F210C">
        <w:rPr>
          <w:sz w:val="24"/>
          <w:szCs w:val="24"/>
        </w:rPr>
        <w:t xml:space="preserve">Nottingham City </w:t>
      </w:r>
      <w:r w:rsidR="00A21B75" w:rsidRPr="008F210C">
        <w:rPr>
          <w:sz w:val="24"/>
          <w:szCs w:val="24"/>
        </w:rPr>
        <w:t xml:space="preserve">Council </w:t>
      </w:r>
      <w:r w:rsidR="00FA6570" w:rsidRPr="008F210C">
        <w:rPr>
          <w:sz w:val="24"/>
          <w:szCs w:val="24"/>
        </w:rPr>
        <w:t xml:space="preserve">Procurement </w:t>
      </w:r>
      <w:r w:rsidR="00A21B75" w:rsidRPr="008F210C">
        <w:rPr>
          <w:sz w:val="24"/>
          <w:szCs w:val="24"/>
        </w:rPr>
        <w:t xml:space="preserve">Unit </w:t>
      </w:r>
      <w:r w:rsidR="00FA6570" w:rsidRPr="008F210C">
        <w:rPr>
          <w:sz w:val="24"/>
          <w:szCs w:val="24"/>
        </w:rPr>
        <w:t>a</w:t>
      </w:r>
      <w:r w:rsidR="00BF25F8" w:rsidRPr="008F210C">
        <w:rPr>
          <w:sz w:val="24"/>
          <w:szCs w:val="24"/>
        </w:rPr>
        <w:t xml:space="preserve"> </w:t>
      </w:r>
      <w:r w:rsidR="00535EB4" w:rsidRPr="008F210C">
        <w:rPr>
          <w:sz w:val="24"/>
          <w:szCs w:val="24"/>
        </w:rPr>
        <w:t xml:space="preserve">contract </w:t>
      </w:r>
      <w:r w:rsidR="0061461B" w:rsidRPr="008F210C">
        <w:rPr>
          <w:sz w:val="24"/>
          <w:szCs w:val="24"/>
        </w:rPr>
        <w:t xml:space="preserve">for </w:t>
      </w:r>
      <w:r w:rsidR="00441715" w:rsidRPr="008F210C">
        <w:rPr>
          <w:sz w:val="24"/>
          <w:szCs w:val="24"/>
        </w:rPr>
        <w:t>Void Security and Cleaning Works</w:t>
      </w:r>
      <w:r w:rsidR="0061461B" w:rsidRPr="008F210C">
        <w:rPr>
          <w:sz w:val="24"/>
          <w:szCs w:val="24"/>
        </w:rPr>
        <w:t>,</w:t>
      </w:r>
      <w:r w:rsidR="00535EB4" w:rsidRPr="008F210C">
        <w:rPr>
          <w:sz w:val="24"/>
          <w:szCs w:val="24"/>
        </w:rPr>
        <w:t xml:space="preserve"> </w:t>
      </w:r>
      <w:r w:rsidR="00AC637A" w:rsidRPr="008F210C">
        <w:rPr>
          <w:sz w:val="24"/>
          <w:szCs w:val="24"/>
        </w:rPr>
        <w:t>to m</w:t>
      </w:r>
      <w:r w:rsidR="00AC637A" w:rsidRPr="008F210C">
        <w:rPr>
          <w:rFonts w:cs="Arial"/>
          <w:sz w:val="24"/>
          <w:szCs w:val="24"/>
        </w:rPr>
        <w:t>ultiple</w:t>
      </w:r>
      <w:r w:rsidR="00AC637A" w:rsidRPr="008F210C">
        <w:rPr>
          <w:rFonts w:cs="Arial"/>
          <w:color w:val="333333"/>
        </w:rPr>
        <w:t xml:space="preserve"> </w:t>
      </w:r>
      <w:r w:rsidR="00AC637A" w:rsidRPr="008F210C">
        <w:rPr>
          <w:rFonts w:cs="Arial"/>
          <w:sz w:val="24"/>
          <w:szCs w:val="24"/>
        </w:rPr>
        <w:t xml:space="preserve">locations within the boundaries of </w:t>
      </w:r>
      <w:r w:rsidR="00EE79FF" w:rsidRPr="008F210C">
        <w:rPr>
          <w:rFonts w:cs="Arial"/>
          <w:sz w:val="24"/>
          <w:szCs w:val="24"/>
        </w:rPr>
        <w:t xml:space="preserve">the district of </w:t>
      </w:r>
      <w:r w:rsidR="00AC637A" w:rsidRPr="008F210C">
        <w:rPr>
          <w:rFonts w:cs="Arial"/>
          <w:sz w:val="24"/>
          <w:szCs w:val="24"/>
        </w:rPr>
        <w:t>Mansfield</w:t>
      </w:r>
      <w:r w:rsidR="00535EB4" w:rsidRPr="008F210C">
        <w:rPr>
          <w:sz w:val="24"/>
          <w:szCs w:val="24"/>
        </w:rPr>
        <w:t xml:space="preserve">. The </w:t>
      </w:r>
      <w:r w:rsidR="00417F55" w:rsidRPr="008F210C">
        <w:rPr>
          <w:sz w:val="24"/>
          <w:szCs w:val="24"/>
        </w:rPr>
        <w:t>initial</w:t>
      </w:r>
      <w:r w:rsidR="00A77036" w:rsidRPr="008F210C">
        <w:rPr>
          <w:sz w:val="24"/>
          <w:szCs w:val="24"/>
        </w:rPr>
        <w:t xml:space="preserve"> contract is for a </w:t>
      </w:r>
      <w:r w:rsidR="00441715" w:rsidRPr="008F210C">
        <w:rPr>
          <w:sz w:val="24"/>
          <w:szCs w:val="24"/>
        </w:rPr>
        <w:t>2</w:t>
      </w:r>
      <w:r w:rsidR="00535EB4" w:rsidRPr="008F210C">
        <w:rPr>
          <w:sz w:val="24"/>
          <w:szCs w:val="24"/>
        </w:rPr>
        <w:t xml:space="preserve"> </w:t>
      </w:r>
      <w:r w:rsidR="008F210C">
        <w:rPr>
          <w:sz w:val="24"/>
          <w:szCs w:val="24"/>
        </w:rPr>
        <w:t>year period</w:t>
      </w:r>
      <w:r w:rsidR="00A77036" w:rsidRPr="008F210C">
        <w:rPr>
          <w:sz w:val="24"/>
          <w:szCs w:val="24"/>
        </w:rPr>
        <w:t xml:space="preserve"> </w:t>
      </w:r>
      <w:r w:rsidR="00535EB4" w:rsidRPr="008F210C">
        <w:rPr>
          <w:sz w:val="24"/>
          <w:szCs w:val="24"/>
        </w:rPr>
        <w:t xml:space="preserve">with an option to extend, </w:t>
      </w:r>
      <w:r w:rsidR="00417F55" w:rsidRPr="008F210C">
        <w:rPr>
          <w:sz w:val="24"/>
          <w:szCs w:val="24"/>
        </w:rPr>
        <w:t>following</w:t>
      </w:r>
      <w:r w:rsidR="00535EB4" w:rsidRPr="008F210C">
        <w:rPr>
          <w:sz w:val="24"/>
          <w:szCs w:val="24"/>
        </w:rPr>
        <w:t xml:space="preserve"> review, for a fur</w:t>
      </w:r>
      <w:r w:rsidR="00B71410" w:rsidRPr="008F210C">
        <w:rPr>
          <w:sz w:val="24"/>
          <w:szCs w:val="24"/>
        </w:rPr>
        <w:t>ther</w:t>
      </w:r>
      <w:r w:rsidR="00535EB4" w:rsidRPr="008F210C">
        <w:rPr>
          <w:sz w:val="24"/>
          <w:szCs w:val="24"/>
        </w:rPr>
        <w:t xml:space="preserve"> </w:t>
      </w:r>
      <w:r w:rsidR="00A77036" w:rsidRPr="008F210C">
        <w:rPr>
          <w:sz w:val="24"/>
          <w:szCs w:val="24"/>
        </w:rPr>
        <w:t xml:space="preserve">two separate </w:t>
      </w:r>
      <w:r w:rsidR="00535EB4" w:rsidRPr="008F210C">
        <w:rPr>
          <w:sz w:val="24"/>
          <w:szCs w:val="24"/>
        </w:rPr>
        <w:t>12 month</w:t>
      </w:r>
      <w:r w:rsidR="008F210C">
        <w:rPr>
          <w:sz w:val="24"/>
          <w:szCs w:val="24"/>
        </w:rPr>
        <w:t xml:space="preserve"> periods</w:t>
      </w:r>
      <w:r w:rsidR="00535EB4" w:rsidRPr="008F210C">
        <w:rPr>
          <w:sz w:val="24"/>
          <w:szCs w:val="24"/>
        </w:rPr>
        <w:t>.</w:t>
      </w:r>
      <w:r w:rsidR="006A1665" w:rsidRPr="008F210C">
        <w:rPr>
          <w:sz w:val="24"/>
          <w:szCs w:val="24"/>
        </w:rPr>
        <w:t xml:space="preserve"> </w:t>
      </w:r>
      <w:r w:rsidR="008F210C">
        <w:rPr>
          <w:sz w:val="24"/>
          <w:szCs w:val="24"/>
        </w:rPr>
        <w:t>The current contract was temporarily extended beyond its original end date due to covid to allow all parties time to put resources in place as part of Covid recovery strategies.</w:t>
      </w:r>
    </w:p>
    <w:p w:rsidR="00D62788" w:rsidRPr="00604B9F" w:rsidRDefault="00D62788" w:rsidP="008F210C">
      <w:pPr>
        <w:rPr>
          <w:sz w:val="24"/>
          <w:szCs w:val="24"/>
        </w:rPr>
      </w:pPr>
    </w:p>
    <w:p w:rsidR="00D62788" w:rsidRPr="00ED3F1B" w:rsidRDefault="00D62788" w:rsidP="00D62788">
      <w:pPr>
        <w:rPr>
          <w:b/>
          <w:sz w:val="24"/>
        </w:rPr>
      </w:pPr>
      <w:r w:rsidRPr="00ED3F1B">
        <w:rPr>
          <w:sz w:val="24"/>
        </w:rPr>
        <w:t>1.2</w:t>
      </w:r>
      <w:r w:rsidRPr="00ED3F1B">
        <w:rPr>
          <w:b/>
          <w:sz w:val="24"/>
        </w:rPr>
        <w:tab/>
        <w:t>Key Decision</w:t>
      </w:r>
    </w:p>
    <w:p w:rsidR="00027D34" w:rsidRPr="00FA6570" w:rsidRDefault="00027D34" w:rsidP="00D62788">
      <w:pPr>
        <w:rPr>
          <w:b/>
          <w:sz w:val="24"/>
          <w:highlight w:val="yellow"/>
        </w:rPr>
      </w:pPr>
    </w:p>
    <w:p w:rsidR="00531CC4" w:rsidRDefault="00027D34" w:rsidP="0061461B">
      <w:pPr>
        <w:ind w:left="709"/>
        <w:rPr>
          <w:sz w:val="24"/>
          <w:szCs w:val="24"/>
        </w:rPr>
      </w:pPr>
      <w:r w:rsidRPr="00EC1EF7">
        <w:rPr>
          <w:sz w:val="24"/>
          <w:szCs w:val="24"/>
        </w:rPr>
        <w:t>This is</w:t>
      </w:r>
      <w:r w:rsidR="0019438B" w:rsidRPr="00EC1EF7">
        <w:rPr>
          <w:sz w:val="24"/>
          <w:szCs w:val="24"/>
        </w:rPr>
        <w:t xml:space="preserve"> </w:t>
      </w:r>
      <w:r w:rsidRPr="00EC1EF7">
        <w:rPr>
          <w:sz w:val="24"/>
          <w:szCs w:val="24"/>
        </w:rPr>
        <w:t>a key decision</w:t>
      </w:r>
      <w:r w:rsidR="00A21B75" w:rsidRPr="00EC1EF7">
        <w:rPr>
          <w:sz w:val="24"/>
          <w:szCs w:val="24"/>
        </w:rPr>
        <w:t xml:space="preserve"> </w:t>
      </w:r>
      <w:r w:rsidR="00EC1EF7" w:rsidRPr="00EC1EF7">
        <w:rPr>
          <w:sz w:val="24"/>
          <w:szCs w:val="24"/>
        </w:rPr>
        <w:t>as the value of the contact is in excess of £50,</w:t>
      </w:r>
      <w:r w:rsidR="00441715">
        <w:rPr>
          <w:sz w:val="24"/>
          <w:szCs w:val="24"/>
        </w:rPr>
        <w:t>000 = £150,000 per year over a 4</w:t>
      </w:r>
      <w:r w:rsidR="006A1665">
        <w:rPr>
          <w:sz w:val="24"/>
          <w:szCs w:val="24"/>
        </w:rPr>
        <w:t xml:space="preserve"> year period.</w:t>
      </w:r>
    </w:p>
    <w:p w:rsidR="00027D34" w:rsidRPr="00FA6570" w:rsidRDefault="00027D34" w:rsidP="00531CC4">
      <w:pPr>
        <w:rPr>
          <w:i/>
          <w:sz w:val="24"/>
          <w:szCs w:val="24"/>
          <w:highlight w:val="yellow"/>
        </w:rPr>
      </w:pPr>
    </w:p>
    <w:p w:rsidR="00BE210E" w:rsidRPr="00ED3F1B" w:rsidRDefault="00BE210E" w:rsidP="00916611">
      <w:pPr>
        <w:rPr>
          <w:b/>
          <w:sz w:val="24"/>
          <w:szCs w:val="24"/>
        </w:rPr>
      </w:pPr>
      <w:r w:rsidRPr="00ED3F1B">
        <w:rPr>
          <w:b/>
          <w:sz w:val="24"/>
          <w:szCs w:val="24"/>
        </w:rPr>
        <w:t>2.</w:t>
      </w:r>
      <w:r w:rsidRPr="00ED3F1B">
        <w:rPr>
          <w:b/>
          <w:sz w:val="24"/>
          <w:szCs w:val="24"/>
        </w:rPr>
        <w:tab/>
        <w:t>RECOMMENDATION</w:t>
      </w:r>
      <w:r w:rsidR="0089260C" w:rsidRPr="00ED3F1B">
        <w:rPr>
          <w:b/>
          <w:sz w:val="24"/>
          <w:szCs w:val="24"/>
        </w:rPr>
        <w:t>S</w:t>
      </w:r>
    </w:p>
    <w:p w:rsidR="00027D34" w:rsidRPr="00FA6570" w:rsidRDefault="00027D34" w:rsidP="00916611">
      <w:pPr>
        <w:rPr>
          <w:b/>
          <w:sz w:val="24"/>
          <w:szCs w:val="24"/>
          <w:highlight w:val="yellow"/>
        </w:rPr>
      </w:pPr>
    </w:p>
    <w:p w:rsidR="00625BE7" w:rsidRPr="00213524" w:rsidRDefault="00625BE7" w:rsidP="00625BE7">
      <w:pPr>
        <w:ind w:firstLine="720"/>
        <w:rPr>
          <w:b/>
          <w:sz w:val="24"/>
          <w:szCs w:val="24"/>
        </w:rPr>
      </w:pPr>
      <w:r>
        <w:rPr>
          <w:b/>
          <w:sz w:val="24"/>
          <w:szCs w:val="24"/>
        </w:rPr>
        <w:t>Recommendation to the Head of Housing</w:t>
      </w:r>
    </w:p>
    <w:p w:rsidR="00625BE7" w:rsidRPr="00213524" w:rsidRDefault="00625BE7" w:rsidP="00625BE7">
      <w:pPr>
        <w:rPr>
          <w:sz w:val="24"/>
          <w:szCs w:val="24"/>
        </w:rPr>
      </w:pPr>
    </w:p>
    <w:p w:rsidR="00AC61D9" w:rsidRPr="00604B9F" w:rsidRDefault="00625BE7" w:rsidP="008F210C">
      <w:pPr>
        <w:ind w:left="720"/>
        <w:rPr>
          <w:sz w:val="24"/>
          <w:szCs w:val="24"/>
        </w:rPr>
      </w:pPr>
      <w:r>
        <w:rPr>
          <w:sz w:val="24"/>
          <w:szCs w:val="24"/>
        </w:rPr>
        <w:t xml:space="preserve">That the Head of Housing authorise the awarding of the contract to </w:t>
      </w:r>
      <w:r w:rsidR="008F210C">
        <w:rPr>
          <w:sz w:val="24"/>
          <w:szCs w:val="24"/>
        </w:rPr>
        <w:t xml:space="preserve">Orbis Protect Limited for an initial 2 year period with an option to extend for the undertaking of </w:t>
      </w:r>
      <w:r w:rsidR="00441715">
        <w:rPr>
          <w:sz w:val="24"/>
        </w:rPr>
        <w:t>void security and void cleaning works</w:t>
      </w:r>
      <w:r w:rsidR="008F210C">
        <w:rPr>
          <w:sz w:val="24"/>
        </w:rPr>
        <w:t>.</w:t>
      </w:r>
    </w:p>
    <w:p w:rsidR="00916611" w:rsidRPr="00AC61D9" w:rsidRDefault="00916611" w:rsidP="00AC61D9">
      <w:pPr>
        <w:ind w:left="720"/>
        <w:rPr>
          <w:sz w:val="24"/>
          <w:szCs w:val="24"/>
        </w:rPr>
      </w:pPr>
      <w:r w:rsidRPr="00AC61D9">
        <w:rPr>
          <w:sz w:val="24"/>
          <w:szCs w:val="24"/>
        </w:rPr>
        <w:tab/>
      </w:r>
    </w:p>
    <w:p w:rsidR="00BE210E" w:rsidRDefault="00BE210E" w:rsidP="00916611">
      <w:pPr>
        <w:rPr>
          <w:b/>
          <w:sz w:val="24"/>
          <w:szCs w:val="24"/>
        </w:rPr>
      </w:pPr>
      <w:r w:rsidRPr="00AC61D9">
        <w:rPr>
          <w:b/>
          <w:sz w:val="24"/>
          <w:szCs w:val="24"/>
        </w:rPr>
        <w:t>3.</w:t>
      </w:r>
      <w:r w:rsidRPr="00AC61D9">
        <w:rPr>
          <w:b/>
          <w:sz w:val="24"/>
          <w:szCs w:val="24"/>
        </w:rPr>
        <w:tab/>
        <w:t>BACKGROUND</w:t>
      </w:r>
    </w:p>
    <w:p w:rsidR="00AC637A" w:rsidRDefault="00AC637A" w:rsidP="00916611">
      <w:pPr>
        <w:rPr>
          <w:b/>
          <w:sz w:val="24"/>
          <w:szCs w:val="24"/>
        </w:rPr>
      </w:pPr>
    </w:p>
    <w:p w:rsidR="00AC637A" w:rsidRDefault="00C07196" w:rsidP="00C07196">
      <w:pPr>
        <w:pStyle w:val="L2"/>
        <w:numPr>
          <w:ilvl w:val="0"/>
          <w:numId w:val="0"/>
        </w:numPr>
        <w:ind w:left="680" w:hanging="680"/>
        <w:rPr>
          <w:lang w:eastAsia="en-GB"/>
        </w:rPr>
      </w:pPr>
      <w:r>
        <w:rPr>
          <w:color w:val="000000"/>
        </w:rPr>
        <w:t>3.1</w:t>
      </w:r>
      <w:r>
        <w:rPr>
          <w:color w:val="000000"/>
        </w:rPr>
        <w:tab/>
      </w:r>
      <w:r w:rsidR="00AC637A">
        <w:rPr>
          <w:color w:val="000000"/>
        </w:rPr>
        <w:t>Nottingham City Council have undert</w:t>
      </w:r>
      <w:r w:rsidR="00A21B75">
        <w:rPr>
          <w:color w:val="000000"/>
        </w:rPr>
        <w:t>aken</w:t>
      </w:r>
      <w:r w:rsidR="00AC637A">
        <w:rPr>
          <w:color w:val="000000"/>
        </w:rPr>
        <w:t xml:space="preserve"> a procurement exercise on behalf of Mansfield District Council. Mansfield District Council are the Contracting Authority; and will be entering into the contract with the appointed supplier. </w:t>
      </w:r>
    </w:p>
    <w:p w:rsidR="00AC637A" w:rsidRDefault="00C07196" w:rsidP="00C07196">
      <w:pPr>
        <w:pStyle w:val="L2"/>
        <w:numPr>
          <w:ilvl w:val="0"/>
          <w:numId w:val="0"/>
        </w:numPr>
        <w:ind w:left="680" w:hanging="680"/>
      </w:pPr>
      <w:r>
        <w:rPr>
          <w:color w:val="000000"/>
        </w:rPr>
        <w:t>3.2</w:t>
      </w:r>
      <w:r>
        <w:rPr>
          <w:color w:val="000000"/>
        </w:rPr>
        <w:tab/>
      </w:r>
      <w:r w:rsidR="00AC637A">
        <w:rPr>
          <w:color w:val="000000"/>
        </w:rPr>
        <w:t>Mansfield District Council</w:t>
      </w:r>
      <w:r w:rsidR="00AC637A">
        <w:t xml:space="preserve"> have sought tenders from suitably experienced and resourced contractors to deliver </w:t>
      </w:r>
      <w:r w:rsidR="00441715">
        <w:t xml:space="preserve">void security and void cleaning works </w:t>
      </w:r>
      <w:r w:rsidR="00AC637A">
        <w:t xml:space="preserve">to Council owned properties within the district. </w:t>
      </w:r>
    </w:p>
    <w:p w:rsidR="00441715" w:rsidRDefault="00441715" w:rsidP="00C07196">
      <w:pPr>
        <w:pStyle w:val="L2"/>
        <w:numPr>
          <w:ilvl w:val="0"/>
          <w:numId w:val="0"/>
        </w:numPr>
        <w:ind w:left="680" w:hanging="680"/>
        <w:rPr>
          <w:lang w:eastAsia="en-GB"/>
        </w:rPr>
      </w:pPr>
      <w:r>
        <w:t>3.3</w:t>
      </w:r>
      <w:r>
        <w:tab/>
        <w:t>The void security and void cleaning works were previously undertaken by two separate contractors, however the awarding of this contract would now bring the works together into a single contract with one supplier, this will reduce officer time in the management of these works and give a single point of contact.</w:t>
      </w:r>
    </w:p>
    <w:p w:rsidR="00441715" w:rsidRDefault="00441715" w:rsidP="00441715">
      <w:pPr>
        <w:pStyle w:val="L2"/>
        <w:numPr>
          <w:ilvl w:val="0"/>
          <w:numId w:val="0"/>
        </w:numPr>
        <w:ind w:left="680" w:hanging="680"/>
      </w:pPr>
      <w:r>
        <w:t>3.4</w:t>
      </w:r>
      <w:r w:rsidR="00C07196">
        <w:tab/>
      </w:r>
      <w:r w:rsidR="00AC637A">
        <w:t xml:space="preserve">The Authority’s detailed requirements are set out in the Specification section and accompanying documentation. </w:t>
      </w:r>
    </w:p>
    <w:p w:rsidR="00441715" w:rsidRDefault="00441715" w:rsidP="00441715">
      <w:pPr>
        <w:pStyle w:val="L2"/>
        <w:numPr>
          <w:ilvl w:val="0"/>
          <w:numId w:val="0"/>
        </w:numPr>
        <w:ind w:left="680" w:hanging="680"/>
      </w:pPr>
    </w:p>
    <w:p w:rsidR="00AC7BF5" w:rsidRDefault="00441715" w:rsidP="00AC637A">
      <w:pPr>
        <w:ind w:left="720" w:hanging="720"/>
        <w:rPr>
          <w:sz w:val="24"/>
          <w:szCs w:val="24"/>
        </w:rPr>
      </w:pPr>
      <w:r>
        <w:rPr>
          <w:sz w:val="24"/>
          <w:szCs w:val="24"/>
        </w:rPr>
        <w:t>3.5</w:t>
      </w:r>
      <w:r w:rsidR="00AC637A">
        <w:rPr>
          <w:sz w:val="24"/>
          <w:szCs w:val="24"/>
        </w:rPr>
        <w:tab/>
        <w:t xml:space="preserve">The </w:t>
      </w:r>
      <w:r w:rsidR="00AC7BF5">
        <w:rPr>
          <w:sz w:val="24"/>
          <w:szCs w:val="24"/>
        </w:rPr>
        <w:t>tender</w:t>
      </w:r>
      <w:r w:rsidR="00AC637A">
        <w:rPr>
          <w:sz w:val="24"/>
          <w:szCs w:val="24"/>
        </w:rPr>
        <w:t xml:space="preserve"> </w:t>
      </w:r>
      <w:r w:rsidR="00A21B75">
        <w:rPr>
          <w:sz w:val="24"/>
          <w:szCs w:val="24"/>
        </w:rPr>
        <w:t xml:space="preserve">specification </w:t>
      </w:r>
      <w:r w:rsidR="00AC637A">
        <w:rPr>
          <w:sz w:val="24"/>
          <w:szCs w:val="24"/>
        </w:rPr>
        <w:t xml:space="preserve">was </w:t>
      </w:r>
      <w:r w:rsidR="00A21B75">
        <w:rPr>
          <w:sz w:val="24"/>
          <w:szCs w:val="24"/>
        </w:rPr>
        <w:t xml:space="preserve">divided between </w:t>
      </w:r>
      <w:r w:rsidR="00AC7BF5">
        <w:rPr>
          <w:sz w:val="24"/>
          <w:szCs w:val="24"/>
        </w:rPr>
        <w:t>quality and price and</w:t>
      </w:r>
      <w:r w:rsidR="00AC637A">
        <w:rPr>
          <w:sz w:val="24"/>
          <w:szCs w:val="24"/>
        </w:rPr>
        <w:t xml:space="preserve"> after reviewing all </w:t>
      </w:r>
      <w:r w:rsidR="00A21B75">
        <w:rPr>
          <w:sz w:val="24"/>
          <w:szCs w:val="24"/>
        </w:rPr>
        <w:t xml:space="preserve">of </w:t>
      </w:r>
      <w:r w:rsidR="00AC637A">
        <w:rPr>
          <w:sz w:val="24"/>
          <w:szCs w:val="24"/>
        </w:rPr>
        <w:t xml:space="preserve">the contractor’s submissions it is recommended that the contract is awarded to </w:t>
      </w:r>
      <w:r>
        <w:rPr>
          <w:sz w:val="24"/>
          <w:szCs w:val="24"/>
        </w:rPr>
        <w:t>Orbis Protect Limited.</w:t>
      </w:r>
    </w:p>
    <w:p w:rsidR="00441715" w:rsidRDefault="00441715" w:rsidP="00AC637A">
      <w:pPr>
        <w:ind w:left="720" w:hanging="720"/>
        <w:rPr>
          <w:sz w:val="24"/>
          <w:szCs w:val="24"/>
        </w:rPr>
      </w:pPr>
    </w:p>
    <w:p w:rsidR="00AC637A" w:rsidRDefault="00441715" w:rsidP="00872D2A">
      <w:pPr>
        <w:ind w:left="720" w:hanging="720"/>
        <w:rPr>
          <w:sz w:val="24"/>
          <w:szCs w:val="24"/>
        </w:rPr>
      </w:pPr>
      <w:r>
        <w:rPr>
          <w:sz w:val="24"/>
          <w:szCs w:val="24"/>
        </w:rPr>
        <w:t>3.6</w:t>
      </w:r>
      <w:r w:rsidR="0086467B">
        <w:rPr>
          <w:sz w:val="24"/>
          <w:szCs w:val="24"/>
        </w:rPr>
        <w:tab/>
      </w:r>
      <w:r w:rsidR="00AC637A">
        <w:rPr>
          <w:sz w:val="24"/>
          <w:szCs w:val="24"/>
        </w:rPr>
        <w:t xml:space="preserve">The allocation of work will be carried out </w:t>
      </w:r>
      <w:r w:rsidR="00AC637A" w:rsidRPr="00BA73FE">
        <w:rPr>
          <w:sz w:val="24"/>
          <w:szCs w:val="24"/>
        </w:rPr>
        <w:t>by</w:t>
      </w:r>
      <w:r w:rsidR="00AC7BF5">
        <w:rPr>
          <w:sz w:val="24"/>
          <w:szCs w:val="24"/>
        </w:rPr>
        <w:t xml:space="preserve"> </w:t>
      </w:r>
      <w:r>
        <w:rPr>
          <w:sz w:val="24"/>
          <w:szCs w:val="24"/>
        </w:rPr>
        <w:t>Orbis Protect Limited</w:t>
      </w:r>
      <w:r w:rsidR="00AC637A">
        <w:rPr>
          <w:sz w:val="24"/>
          <w:szCs w:val="24"/>
        </w:rPr>
        <w:t xml:space="preserve"> following an </w:t>
      </w:r>
      <w:r w:rsidR="00C07196">
        <w:rPr>
          <w:sz w:val="24"/>
          <w:szCs w:val="24"/>
        </w:rPr>
        <w:t>assessment</w:t>
      </w:r>
      <w:r w:rsidR="00AC637A">
        <w:rPr>
          <w:sz w:val="24"/>
          <w:szCs w:val="24"/>
        </w:rPr>
        <w:t xml:space="preserve"> by a MDC Inspector/Assessor</w:t>
      </w:r>
      <w:r>
        <w:rPr>
          <w:sz w:val="24"/>
          <w:szCs w:val="24"/>
        </w:rPr>
        <w:t xml:space="preserve"> or Team Leader</w:t>
      </w:r>
      <w:r w:rsidR="00AC637A">
        <w:rPr>
          <w:sz w:val="24"/>
          <w:szCs w:val="24"/>
        </w:rPr>
        <w:t>.</w:t>
      </w:r>
      <w:r>
        <w:rPr>
          <w:sz w:val="24"/>
          <w:szCs w:val="24"/>
        </w:rPr>
        <w:t xml:space="preserve"> </w:t>
      </w:r>
    </w:p>
    <w:p w:rsidR="00AC637A" w:rsidRDefault="00AC637A" w:rsidP="00AC637A">
      <w:pPr>
        <w:ind w:left="720" w:hanging="720"/>
        <w:rPr>
          <w:sz w:val="24"/>
          <w:szCs w:val="24"/>
        </w:rPr>
      </w:pPr>
    </w:p>
    <w:p w:rsidR="00F32335" w:rsidRDefault="00AC637A">
      <w:pPr>
        <w:ind w:left="720" w:hanging="720"/>
        <w:rPr>
          <w:sz w:val="24"/>
          <w:szCs w:val="24"/>
        </w:rPr>
      </w:pPr>
      <w:r>
        <w:rPr>
          <w:sz w:val="24"/>
          <w:szCs w:val="24"/>
        </w:rPr>
        <w:tab/>
        <w:t>The costs of this contract are contained within the existing budget</w:t>
      </w:r>
      <w:r w:rsidR="00F32335">
        <w:rPr>
          <w:sz w:val="24"/>
          <w:szCs w:val="24"/>
        </w:rPr>
        <w:t>s</w:t>
      </w:r>
      <w:r w:rsidR="00E47BB1">
        <w:rPr>
          <w:sz w:val="24"/>
          <w:szCs w:val="24"/>
        </w:rPr>
        <w:t xml:space="preserve"> as </w:t>
      </w:r>
      <w:r w:rsidR="00F32335">
        <w:rPr>
          <w:sz w:val="24"/>
          <w:szCs w:val="24"/>
        </w:rPr>
        <w:t>follows:</w:t>
      </w:r>
    </w:p>
    <w:p w:rsidR="00F32335" w:rsidRDefault="00F32335">
      <w:pPr>
        <w:ind w:left="720" w:hanging="720"/>
        <w:rPr>
          <w:sz w:val="24"/>
          <w:szCs w:val="24"/>
        </w:rPr>
      </w:pPr>
    </w:p>
    <w:p w:rsidR="00AC637A" w:rsidRDefault="00F32335">
      <w:pPr>
        <w:ind w:left="720" w:hanging="720"/>
        <w:rPr>
          <w:sz w:val="24"/>
          <w:szCs w:val="24"/>
        </w:rPr>
      </w:pPr>
      <w:r>
        <w:rPr>
          <w:sz w:val="24"/>
          <w:szCs w:val="24"/>
        </w:rPr>
        <w:tab/>
      </w:r>
      <w:r w:rsidR="00441715">
        <w:rPr>
          <w:sz w:val="24"/>
          <w:szCs w:val="24"/>
        </w:rPr>
        <w:t>Responsive Repairs budget:</w:t>
      </w:r>
      <w:r w:rsidR="00441715">
        <w:rPr>
          <w:sz w:val="24"/>
          <w:szCs w:val="24"/>
        </w:rPr>
        <w:tab/>
        <w:t>£15</w:t>
      </w:r>
      <w:r w:rsidR="006A1665">
        <w:rPr>
          <w:sz w:val="24"/>
          <w:szCs w:val="24"/>
        </w:rPr>
        <w:t>0</w:t>
      </w:r>
      <w:r w:rsidR="00E47BB1">
        <w:rPr>
          <w:sz w:val="24"/>
          <w:szCs w:val="24"/>
        </w:rPr>
        <w:t>K</w:t>
      </w:r>
      <w:r>
        <w:rPr>
          <w:sz w:val="24"/>
          <w:szCs w:val="24"/>
        </w:rPr>
        <w:t xml:space="preserve"> per annum </w:t>
      </w:r>
    </w:p>
    <w:p w:rsidR="003F1A62" w:rsidRPr="00FA6570" w:rsidRDefault="003F1A62" w:rsidP="00FF4067">
      <w:pPr>
        <w:tabs>
          <w:tab w:val="left" w:pos="720"/>
        </w:tabs>
        <w:ind w:left="720" w:hanging="720"/>
        <w:rPr>
          <w:sz w:val="24"/>
          <w:szCs w:val="24"/>
          <w:highlight w:val="yellow"/>
        </w:rPr>
      </w:pPr>
    </w:p>
    <w:p w:rsidR="0089260C" w:rsidRPr="00C07196" w:rsidRDefault="00BE210E" w:rsidP="0089260C">
      <w:pPr>
        <w:rPr>
          <w:b/>
          <w:sz w:val="24"/>
          <w:szCs w:val="24"/>
        </w:rPr>
      </w:pPr>
      <w:r w:rsidRPr="00C07196">
        <w:rPr>
          <w:b/>
          <w:sz w:val="24"/>
          <w:szCs w:val="24"/>
        </w:rPr>
        <w:t>4.</w:t>
      </w:r>
      <w:r w:rsidRPr="00C07196">
        <w:rPr>
          <w:b/>
          <w:sz w:val="24"/>
          <w:szCs w:val="24"/>
        </w:rPr>
        <w:tab/>
      </w:r>
      <w:r w:rsidR="0089260C" w:rsidRPr="00C07196">
        <w:rPr>
          <w:b/>
          <w:sz w:val="24"/>
          <w:szCs w:val="24"/>
        </w:rPr>
        <w:t>OPTIONS AVAILABLE</w:t>
      </w:r>
    </w:p>
    <w:p w:rsidR="00D4128B" w:rsidRPr="00FA6570" w:rsidRDefault="00D4128B" w:rsidP="0089260C">
      <w:pPr>
        <w:rPr>
          <w:b/>
          <w:sz w:val="24"/>
          <w:szCs w:val="24"/>
          <w:highlight w:val="yellow"/>
        </w:rPr>
      </w:pPr>
    </w:p>
    <w:p w:rsidR="00C07196" w:rsidRPr="00C07196" w:rsidRDefault="00C07196" w:rsidP="00C07196">
      <w:pPr>
        <w:ind w:left="720" w:hanging="720"/>
        <w:rPr>
          <w:sz w:val="24"/>
          <w:szCs w:val="24"/>
          <w:u w:val="single"/>
        </w:rPr>
      </w:pPr>
      <w:r>
        <w:rPr>
          <w:sz w:val="24"/>
          <w:szCs w:val="24"/>
        </w:rPr>
        <w:t>4.1</w:t>
      </w:r>
      <w:r w:rsidR="00D4128B" w:rsidRPr="00C07196">
        <w:rPr>
          <w:sz w:val="24"/>
          <w:szCs w:val="24"/>
        </w:rPr>
        <w:tab/>
      </w:r>
      <w:r>
        <w:rPr>
          <w:sz w:val="24"/>
          <w:szCs w:val="24"/>
          <w:u w:val="single"/>
        </w:rPr>
        <w:t xml:space="preserve">Option 1 (recommended) </w:t>
      </w:r>
      <w:r w:rsidR="0086467B">
        <w:rPr>
          <w:sz w:val="24"/>
          <w:szCs w:val="24"/>
          <w:u w:val="single"/>
        </w:rPr>
        <w:t>– That</w:t>
      </w:r>
      <w:r>
        <w:rPr>
          <w:sz w:val="24"/>
          <w:szCs w:val="24"/>
          <w:u w:val="single"/>
        </w:rPr>
        <w:t xml:space="preserve"> the Head of Housing authorise </w:t>
      </w:r>
      <w:r w:rsidR="00A21B75">
        <w:rPr>
          <w:sz w:val="24"/>
          <w:szCs w:val="24"/>
          <w:u w:val="single"/>
        </w:rPr>
        <w:t>the award</w:t>
      </w:r>
      <w:r>
        <w:rPr>
          <w:sz w:val="24"/>
          <w:szCs w:val="24"/>
          <w:u w:val="single"/>
        </w:rPr>
        <w:t xml:space="preserve"> of</w:t>
      </w:r>
      <w:r w:rsidRPr="00573CC5">
        <w:rPr>
          <w:sz w:val="24"/>
          <w:szCs w:val="24"/>
          <w:u w:val="single"/>
        </w:rPr>
        <w:t xml:space="preserve"> </w:t>
      </w:r>
      <w:r w:rsidRPr="00420F8A">
        <w:rPr>
          <w:sz w:val="24"/>
          <w:szCs w:val="24"/>
          <w:u w:val="single"/>
        </w:rPr>
        <w:t xml:space="preserve">the contract between the Council and </w:t>
      </w:r>
      <w:r w:rsidR="00441715">
        <w:rPr>
          <w:sz w:val="24"/>
          <w:szCs w:val="24"/>
          <w:u w:val="single"/>
        </w:rPr>
        <w:t>Orbis Protect Limited</w:t>
      </w:r>
      <w:r>
        <w:rPr>
          <w:sz w:val="24"/>
          <w:szCs w:val="24"/>
          <w:u w:val="single"/>
        </w:rPr>
        <w:t xml:space="preserve"> </w:t>
      </w:r>
      <w:r w:rsidRPr="0030270A">
        <w:rPr>
          <w:sz w:val="24"/>
          <w:szCs w:val="24"/>
          <w:u w:val="single"/>
        </w:rPr>
        <w:t xml:space="preserve">at an estimated cost of </w:t>
      </w:r>
      <w:r w:rsidR="00441715">
        <w:rPr>
          <w:sz w:val="24"/>
          <w:szCs w:val="24"/>
          <w:u w:val="single"/>
        </w:rPr>
        <w:t>£15</w:t>
      </w:r>
      <w:r w:rsidR="006A1665">
        <w:rPr>
          <w:sz w:val="24"/>
          <w:szCs w:val="24"/>
          <w:u w:val="single"/>
        </w:rPr>
        <w:t>0</w:t>
      </w:r>
      <w:r w:rsidR="00E47BB1">
        <w:rPr>
          <w:sz w:val="24"/>
          <w:szCs w:val="24"/>
          <w:u w:val="single"/>
        </w:rPr>
        <w:t>,0</w:t>
      </w:r>
      <w:r>
        <w:rPr>
          <w:sz w:val="24"/>
          <w:szCs w:val="24"/>
          <w:u w:val="single"/>
        </w:rPr>
        <w:t>00</w:t>
      </w:r>
      <w:r w:rsidRPr="0030270A">
        <w:rPr>
          <w:sz w:val="24"/>
          <w:szCs w:val="24"/>
          <w:u w:val="single"/>
        </w:rPr>
        <w:t xml:space="preserve"> per year for </w:t>
      </w:r>
      <w:r>
        <w:rPr>
          <w:sz w:val="24"/>
          <w:szCs w:val="24"/>
          <w:u w:val="single"/>
        </w:rPr>
        <w:t xml:space="preserve">initially </w:t>
      </w:r>
      <w:r w:rsidR="00441715">
        <w:rPr>
          <w:sz w:val="24"/>
          <w:szCs w:val="24"/>
          <w:u w:val="single"/>
        </w:rPr>
        <w:t>2</w:t>
      </w:r>
      <w:r w:rsidRPr="0030270A">
        <w:rPr>
          <w:sz w:val="24"/>
          <w:szCs w:val="24"/>
          <w:u w:val="single"/>
        </w:rPr>
        <w:t xml:space="preserve"> </w:t>
      </w:r>
      <w:r w:rsidRPr="00C07196">
        <w:rPr>
          <w:sz w:val="24"/>
          <w:szCs w:val="24"/>
          <w:u w:val="single"/>
        </w:rPr>
        <w:t>year</w:t>
      </w:r>
      <w:r w:rsidR="00441715">
        <w:rPr>
          <w:sz w:val="24"/>
          <w:szCs w:val="24"/>
          <w:u w:val="single"/>
        </w:rPr>
        <w:t>s</w:t>
      </w:r>
      <w:r w:rsidRPr="00C07196">
        <w:rPr>
          <w:sz w:val="24"/>
          <w:szCs w:val="24"/>
          <w:u w:val="single"/>
        </w:rPr>
        <w:t xml:space="preserve"> following review, for a further two </w:t>
      </w:r>
      <w:r w:rsidR="008F210C">
        <w:rPr>
          <w:sz w:val="24"/>
          <w:szCs w:val="24"/>
          <w:u w:val="single"/>
        </w:rPr>
        <w:t>separate 12 month periods</w:t>
      </w:r>
      <w:r w:rsidRPr="00C07196">
        <w:rPr>
          <w:sz w:val="24"/>
          <w:szCs w:val="24"/>
          <w:u w:val="single"/>
        </w:rPr>
        <w:t>.</w:t>
      </w:r>
    </w:p>
    <w:p w:rsidR="00C07196" w:rsidRDefault="00C07196" w:rsidP="00C07196">
      <w:pPr>
        <w:ind w:left="720" w:hanging="720"/>
        <w:rPr>
          <w:sz w:val="24"/>
          <w:szCs w:val="24"/>
          <w:u w:val="single"/>
        </w:rPr>
      </w:pPr>
    </w:p>
    <w:p w:rsidR="006B0022" w:rsidRPr="00FA6570" w:rsidRDefault="006B0022" w:rsidP="00C07196">
      <w:pPr>
        <w:rPr>
          <w:sz w:val="24"/>
          <w:szCs w:val="24"/>
          <w:highlight w:val="yellow"/>
        </w:rPr>
      </w:pPr>
    </w:p>
    <w:p w:rsidR="00C07196" w:rsidRPr="006F7120" w:rsidRDefault="006B0022" w:rsidP="00C07196">
      <w:pPr>
        <w:ind w:left="720" w:hanging="720"/>
        <w:rPr>
          <w:sz w:val="24"/>
          <w:szCs w:val="24"/>
        </w:rPr>
      </w:pPr>
      <w:r w:rsidRPr="00C07196">
        <w:rPr>
          <w:sz w:val="24"/>
          <w:szCs w:val="24"/>
        </w:rPr>
        <w:t>4.2</w:t>
      </w:r>
      <w:r w:rsidRPr="00C07196">
        <w:rPr>
          <w:sz w:val="24"/>
          <w:szCs w:val="24"/>
        </w:rPr>
        <w:tab/>
      </w:r>
      <w:r w:rsidR="00C07196" w:rsidRPr="00472668">
        <w:rPr>
          <w:sz w:val="24"/>
          <w:szCs w:val="24"/>
          <w:u w:val="single"/>
        </w:rPr>
        <w:t xml:space="preserve">Option 2 – </w:t>
      </w:r>
      <w:r w:rsidR="00C07196">
        <w:rPr>
          <w:sz w:val="24"/>
          <w:szCs w:val="24"/>
          <w:u w:val="single"/>
        </w:rPr>
        <w:t xml:space="preserve">That the Head of Housing does not authorise the </w:t>
      </w:r>
      <w:r w:rsidR="00A21B75">
        <w:rPr>
          <w:sz w:val="24"/>
          <w:szCs w:val="24"/>
          <w:u w:val="single"/>
        </w:rPr>
        <w:t>award</w:t>
      </w:r>
      <w:r w:rsidR="00C07196">
        <w:rPr>
          <w:sz w:val="24"/>
          <w:szCs w:val="24"/>
          <w:u w:val="single"/>
        </w:rPr>
        <w:t xml:space="preserve"> of the contract</w:t>
      </w:r>
      <w:r w:rsidR="00C07196">
        <w:rPr>
          <w:sz w:val="24"/>
          <w:szCs w:val="24"/>
        </w:rPr>
        <w:t xml:space="preserve"> – This option is not recommended as it will not be possible to continue with the elements of work that we are reliant upon having this contract in place.</w:t>
      </w:r>
    </w:p>
    <w:p w:rsidR="00C053C6" w:rsidRPr="00FA6570" w:rsidRDefault="00C053C6" w:rsidP="00C07196">
      <w:pPr>
        <w:ind w:left="720" w:hanging="720"/>
        <w:rPr>
          <w:sz w:val="24"/>
          <w:szCs w:val="24"/>
          <w:highlight w:val="yellow"/>
        </w:rPr>
      </w:pPr>
    </w:p>
    <w:p w:rsidR="006F7ABC" w:rsidRPr="00721752" w:rsidRDefault="006F7ABC" w:rsidP="00C053C6">
      <w:pPr>
        <w:numPr>
          <w:ilvl w:val="0"/>
          <w:numId w:val="2"/>
        </w:numPr>
        <w:tabs>
          <w:tab w:val="clear" w:pos="1080"/>
          <w:tab w:val="num" w:pos="720"/>
        </w:tabs>
        <w:ind w:left="720"/>
        <w:rPr>
          <w:b/>
          <w:sz w:val="24"/>
          <w:szCs w:val="24"/>
        </w:rPr>
      </w:pPr>
      <w:r w:rsidRPr="00721752">
        <w:rPr>
          <w:b/>
          <w:sz w:val="24"/>
          <w:szCs w:val="24"/>
        </w:rPr>
        <w:t>RISK ASSESSMENT</w:t>
      </w:r>
      <w:r w:rsidR="00B76F23" w:rsidRPr="00721752">
        <w:rPr>
          <w:b/>
          <w:sz w:val="24"/>
          <w:szCs w:val="24"/>
        </w:rPr>
        <w:t xml:space="preserve"> OF RECOMMENDATIONS AND OPTIONS</w:t>
      </w:r>
    </w:p>
    <w:p w:rsidR="006F7ABC" w:rsidRPr="00721752" w:rsidRDefault="006F7ABC" w:rsidP="0089260C">
      <w:pPr>
        <w:rPr>
          <w:sz w:val="24"/>
          <w:szCs w:val="24"/>
        </w:rPr>
      </w:pPr>
    </w:p>
    <w:tbl>
      <w:tblPr>
        <w:tblStyle w:val="TableGrid"/>
        <w:tblW w:w="9240" w:type="dxa"/>
        <w:tblInd w:w="108" w:type="dxa"/>
        <w:tblLayout w:type="fixed"/>
        <w:tblLook w:val="01E0" w:firstRow="1" w:lastRow="1" w:firstColumn="1" w:lastColumn="1" w:noHBand="0" w:noVBand="0"/>
      </w:tblPr>
      <w:tblGrid>
        <w:gridCol w:w="1440"/>
        <w:gridCol w:w="3120"/>
        <w:gridCol w:w="1200"/>
        <w:gridCol w:w="3480"/>
      </w:tblGrid>
      <w:tr w:rsidR="007C72A1" w:rsidRPr="00FA6570">
        <w:tc>
          <w:tcPr>
            <w:tcW w:w="1440" w:type="dxa"/>
          </w:tcPr>
          <w:p w:rsidR="007C72A1" w:rsidRPr="00721752" w:rsidRDefault="007C72A1" w:rsidP="008633DD">
            <w:pPr>
              <w:rPr>
                <w:b/>
                <w:bCs/>
                <w:sz w:val="24"/>
                <w:szCs w:val="24"/>
              </w:rPr>
            </w:pPr>
            <w:r w:rsidRPr="00721752">
              <w:rPr>
                <w:b/>
                <w:bCs/>
                <w:sz w:val="24"/>
                <w:szCs w:val="24"/>
              </w:rPr>
              <w:t xml:space="preserve">Risk </w:t>
            </w:r>
          </w:p>
        </w:tc>
        <w:tc>
          <w:tcPr>
            <w:tcW w:w="3120" w:type="dxa"/>
          </w:tcPr>
          <w:p w:rsidR="007C72A1" w:rsidRPr="00721752" w:rsidRDefault="007C72A1" w:rsidP="008633DD">
            <w:pPr>
              <w:rPr>
                <w:b/>
                <w:bCs/>
                <w:sz w:val="24"/>
                <w:szCs w:val="24"/>
              </w:rPr>
            </w:pPr>
            <w:r w:rsidRPr="00721752">
              <w:rPr>
                <w:b/>
                <w:bCs/>
                <w:sz w:val="24"/>
                <w:szCs w:val="24"/>
              </w:rPr>
              <w:t xml:space="preserve">Risk Assessment </w:t>
            </w:r>
          </w:p>
        </w:tc>
        <w:tc>
          <w:tcPr>
            <w:tcW w:w="1200" w:type="dxa"/>
          </w:tcPr>
          <w:p w:rsidR="007C72A1" w:rsidRPr="00721752" w:rsidRDefault="007C72A1" w:rsidP="008633DD">
            <w:pPr>
              <w:rPr>
                <w:b/>
                <w:bCs/>
                <w:sz w:val="24"/>
                <w:szCs w:val="24"/>
              </w:rPr>
            </w:pPr>
            <w:r w:rsidRPr="00721752">
              <w:rPr>
                <w:b/>
                <w:bCs/>
                <w:sz w:val="24"/>
                <w:szCs w:val="24"/>
              </w:rPr>
              <w:t xml:space="preserve">Risk Level </w:t>
            </w:r>
          </w:p>
        </w:tc>
        <w:tc>
          <w:tcPr>
            <w:tcW w:w="3480" w:type="dxa"/>
          </w:tcPr>
          <w:p w:rsidR="007C72A1" w:rsidRPr="00721752" w:rsidRDefault="007C72A1" w:rsidP="008633DD">
            <w:pPr>
              <w:rPr>
                <w:b/>
                <w:bCs/>
                <w:sz w:val="24"/>
                <w:szCs w:val="24"/>
              </w:rPr>
            </w:pPr>
            <w:r w:rsidRPr="00721752">
              <w:rPr>
                <w:b/>
                <w:bCs/>
                <w:sz w:val="24"/>
                <w:szCs w:val="24"/>
              </w:rPr>
              <w:t xml:space="preserve">Risk Management </w:t>
            </w:r>
          </w:p>
        </w:tc>
      </w:tr>
      <w:tr w:rsidR="00721752" w:rsidRPr="00FA6570">
        <w:tc>
          <w:tcPr>
            <w:tcW w:w="1440" w:type="dxa"/>
          </w:tcPr>
          <w:p w:rsidR="00721752" w:rsidRPr="00E83515" w:rsidRDefault="00721752" w:rsidP="00721752">
            <w:pPr>
              <w:rPr>
                <w:sz w:val="24"/>
                <w:szCs w:val="24"/>
              </w:rPr>
            </w:pPr>
            <w:r w:rsidRPr="00E83515">
              <w:rPr>
                <w:sz w:val="24"/>
                <w:szCs w:val="24"/>
              </w:rPr>
              <w:t>Financial</w:t>
            </w:r>
          </w:p>
        </w:tc>
        <w:tc>
          <w:tcPr>
            <w:tcW w:w="3120" w:type="dxa"/>
          </w:tcPr>
          <w:p w:rsidR="00721752" w:rsidRPr="00E83515" w:rsidRDefault="00721752" w:rsidP="00721752">
            <w:pPr>
              <w:jc w:val="left"/>
              <w:rPr>
                <w:sz w:val="24"/>
                <w:szCs w:val="24"/>
              </w:rPr>
            </w:pPr>
            <w:r w:rsidRPr="00E83515">
              <w:rPr>
                <w:sz w:val="24"/>
                <w:szCs w:val="24"/>
              </w:rPr>
              <w:t>Failure to remain within the budget allocated.</w:t>
            </w:r>
          </w:p>
        </w:tc>
        <w:tc>
          <w:tcPr>
            <w:tcW w:w="1200" w:type="dxa"/>
          </w:tcPr>
          <w:p w:rsidR="00721752" w:rsidRPr="00E83515" w:rsidRDefault="00721752" w:rsidP="00721752">
            <w:pPr>
              <w:rPr>
                <w:sz w:val="24"/>
                <w:szCs w:val="24"/>
              </w:rPr>
            </w:pPr>
            <w:r w:rsidRPr="00E83515">
              <w:rPr>
                <w:sz w:val="24"/>
                <w:szCs w:val="24"/>
              </w:rPr>
              <w:t>Low</w:t>
            </w:r>
          </w:p>
        </w:tc>
        <w:tc>
          <w:tcPr>
            <w:tcW w:w="3480" w:type="dxa"/>
          </w:tcPr>
          <w:p w:rsidR="00721752" w:rsidRPr="00E83515" w:rsidRDefault="00721752" w:rsidP="00E47BB1">
            <w:pPr>
              <w:jc w:val="left"/>
              <w:rPr>
                <w:sz w:val="24"/>
                <w:szCs w:val="24"/>
              </w:rPr>
            </w:pPr>
            <w:r>
              <w:rPr>
                <w:sz w:val="24"/>
                <w:szCs w:val="24"/>
              </w:rPr>
              <w:t>The costs associated with this work are contained within the Housing Repairs Budget, for which there is a monthly finance meeting.  Also costs are approved by the Operations Manager prior to issuing instructions to the Contractor.</w:t>
            </w:r>
          </w:p>
        </w:tc>
      </w:tr>
      <w:tr w:rsidR="00721752" w:rsidRPr="00FA6570">
        <w:tc>
          <w:tcPr>
            <w:tcW w:w="1440" w:type="dxa"/>
          </w:tcPr>
          <w:p w:rsidR="00721752" w:rsidRPr="00E83515" w:rsidRDefault="00721752" w:rsidP="00721752">
            <w:pPr>
              <w:rPr>
                <w:sz w:val="24"/>
                <w:szCs w:val="24"/>
              </w:rPr>
            </w:pPr>
            <w:r w:rsidRPr="00E83515">
              <w:rPr>
                <w:sz w:val="24"/>
                <w:szCs w:val="24"/>
              </w:rPr>
              <w:t>Project Delivery</w:t>
            </w:r>
          </w:p>
        </w:tc>
        <w:tc>
          <w:tcPr>
            <w:tcW w:w="3120" w:type="dxa"/>
          </w:tcPr>
          <w:p w:rsidR="00721752" w:rsidRPr="00E83515" w:rsidRDefault="00721752" w:rsidP="00721752">
            <w:pPr>
              <w:jc w:val="left"/>
              <w:rPr>
                <w:sz w:val="24"/>
                <w:szCs w:val="24"/>
              </w:rPr>
            </w:pPr>
            <w:r w:rsidRPr="00E83515">
              <w:rPr>
                <w:sz w:val="24"/>
                <w:szCs w:val="24"/>
              </w:rPr>
              <w:t>The selected contractor ceases to exist.</w:t>
            </w:r>
          </w:p>
        </w:tc>
        <w:tc>
          <w:tcPr>
            <w:tcW w:w="1200" w:type="dxa"/>
          </w:tcPr>
          <w:p w:rsidR="00721752" w:rsidRPr="00E83515" w:rsidRDefault="00721752" w:rsidP="00721752">
            <w:pPr>
              <w:rPr>
                <w:sz w:val="24"/>
                <w:szCs w:val="24"/>
              </w:rPr>
            </w:pPr>
            <w:r w:rsidRPr="00E83515">
              <w:rPr>
                <w:sz w:val="24"/>
                <w:szCs w:val="24"/>
              </w:rPr>
              <w:t>Medium</w:t>
            </w:r>
          </w:p>
        </w:tc>
        <w:tc>
          <w:tcPr>
            <w:tcW w:w="3480" w:type="dxa"/>
          </w:tcPr>
          <w:p w:rsidR="00721752" w:rsidRPr="00E83515" w:rsidRDefault="00721752" w:rsidP="00E47BB1">
            <w:pPr>
              <w:jc w:val="left"/>
              <w:rPr>
                <w:sz w:val="24"/>
                <w:szCs w:val="24"/>
              </w:rPr>
            </w:pPr>
            <w:r w:rsidRPr="00E83515">
              <w:rPr>
                <w:sz w:val="24"/>
                <w:szCs w:val="24"/>
              </w:rPr>
              <w:t>This will only cause delays in project delivery, whilst an alternative contractor is selected</w:t>
            </w:r>
            <w:r>
              <w:rPr>
                <w:sz w:val="24"/>
                <w:szCs w:val="24"/>
              </w:rPr>
              <w:t xml:space="preserve"> and delay the efficiency savings for the Housing Repairs service</w:t>
            </w:r>
          </w:p>
        </w:tc>
      </w:tr>
    </w:tbl>
    <w:p w:rsidR="00CF0B8F" w:rsidRPr="00FA6570" w:rsidRDefault="00CF0B8F" w:rsidP="0089260C">
      <w:pPr>
        <w:rPr>
          <w:b/>
          <w:sz w:val="24"/>
          <w:szCs w:val="24"/>
          <w:highlight w:val="yellow"/>
        </w:rPr>
      </w:pPr>
    </w:p>
    <w:p w:rsidR="00441715" w:rsidRDefault="00441715" w:rsidP="0089260C">
      <w:pPr>
        <w:rPr>
          <w:b/>
          <w:sz w:val="24"/>
          <w:szCs w:val="24"/>
        </w:rPr>
      </w:pPr>
    </w:p>
    <w:p w:rsidR="00441715" w:rsidRDefault="00441715" w:rsidP="0089260C">
      <w:pPr>
        <w:rPr>
          <w:b/>
          <w:sz w:val="24"/>
          <w:szCs w:val="24"/>
        </w:rPr>
      </w:pPr>
    </w:p>
    <w:p w:rsidR="0089260C" w:rsidRPr="00721752" w:rsidRDefault="002D60D5" w:rsidP="0089260C">
      <w:pPr>
        <w:rPr>
          <w:b/>
          <w:sz w:val="24"/>
          <w:szCs w:val="24"/>
        </w:rPr>
      </w:pPr>
      <w:r w:rsidRPr="00721752">
        <w:rPr>
          <w:b/>
          <w:sz w:val="24"/>
          <w:szCs w:val="24"/>
        </w:rPr>
        <w:t>6</w:t>
      </w:r>
      <w:r w:rsidR="0089260C" w:rsidRPr="00721752">
        <w:rPr>
          <w:b/>
          <w:sz w:val="24"/>
          <w:szCs w:val="24"/>
        </w:rPr>
        <w:t>.</w:t>
      </w:r>
      <w:r w:rsidR="0089260C" w:rsidRPr="00721752">
        <w:rPr>
          <w:b/>
          <w:sz w:val="24"/>
          <w:szCs w:val="24"/>
        </w:rPr>
        <w:tab/>
        <w:t>ALIGNMENT TO COUNCIL PRIORITIES</w:t>
      </w:r>
    </w:p>
    <w:p w:rsidR="00BE210E" w:rsidRPr="00FA6570" w:rsidRDefault="00BE210E" w:rsidP="0089260C">
      <w:pPr>
        <w:rPr>
          <w:sz w:val="24"/>
          <w:szCs w:val="24"/>
          <w:highlight w:val="yellow"/>
        </w:rPr>
      </w:pPr>
    </w:p>
    <w:p w:rsidR="00721752" w:rsidRPr="002C5171" w:rsidRDefault="00721752" w:rsidP="00721752">
      <w:pPr>
        <w:numPr>
          <w:ilvl w:val="1"/>
          <w:numId w:val="10"/>
        </w:numPr>
        <w:rPr>
          <w:sz w:val="24"/>
          <w:szCs w:val="24"/>
        </w:rPr>
      </w:pPr>
      <w:r w:rsidRPr="002C5171">
        <w:rPr>
          <w:sz w:val="24"/>
          <w:szCs w:val="24"/>
        </w:rPr>
        <w:t>This report is in line with the Council’s housing priority for ensuring there is an adequate supply of good quality, well managed housing which is accessible and affordable to those who need it.</w:t>
      </w:r>
    </w:p>
    <w:p w:rsidR="00877B75" w:rsidRPr="00FA6570" w:rsidRDefault="00877B75" w:rsidP="0089260C">
      <w:pPr>
        <w:rPr>
          <w:b/>
          <w:sz w:val="24"/>
          <w:szCs w:val="24"/>
          <w:highlight w:val="yellow"/>
        </w:rPr>
      </w:pPr>
    </w:p>
    <w:p w:rsidR="00BE210E" w:rsidRPr="00721752" w:rsidRDefault="002D60D5" w:rsidP="0089260C">
      <w:pPr>
        <w:rPr>
          <w:b/>
          <w:sz w:val="24"/>
          <w:szCs w:val="24"/>
        </w:rPr>
      </w:pPr>
      <w:r w:rsidRPr="00721752">
        <w:rPr>
          <w:b/>
          <w:sz w:val="24"/>
          <w:szCs w:val="24"/>
        </w:rPr>
        <w:t>7</w:t>
      </w:r>
      <w:r w:rsidR="00B920DF" w:rsidRPr="00721752">
        <w:rPr>
          <w:b/>
          <w:sz w:val="24"/>
          <w:szCs w:val="24"/>
        </w:rPr>
        <w:t>.</w:t>
      </w:r>
      <w:r w:rsidR="00B920DF" w:rsidRPr="00721752">
        <w:rPr>
          <w:b/>
          <w:sz w:val="24"/>
          <w:szCs w:val="24"/>
        </w:rPr>
        <w:tab/>
        <w:t>I</w:t>
      </w:r>
      <w:r w:rsidRPr="00721752">
        <w:rPr>
          <w:b/>
          <w:sz w:val="24"/>
          <w:szCs w:val="24"/>
        </w:rPr>
        <w:t>MPLICATIONS</w:t>
      </w:r>
    </w:p>
    <w:p w:rsidR="002D60D5" w:rsidRPr="00721752" w:rsidRDefault="002D60D5" w:rsidP="0089260C">
      <w:pPr>
        <w:rPr>
          <w:b/>
          <w:sz w:val="24"/>
          <w:szCs w:val="24"/>
        </w:rPr>
      </w:pPr>
    </w:p>
    <w:p w:rsidR="00721752" w:rsidRDefault="002D60D5" w:rsidP="00721752">
      <w:pPr>
        <w:ind w:left="720" w:hanging="720"/>
        <w:rPr>
          <w:sz w:val="24"/>
          <w:szCs w:val="24"/>
        </w:rPr>
      </w:pPr>
      <w:r w:rsidRPr="00721752">
        <w:rPr>
          <w:sz w:val="24"/>
          <w:szCs w:val="24"/>
        </w:rPr>
        <w:t>(a)</w:t>
      </w:r>
      <w:r w:rsidRPr="00721752">
        <w:rPr>
          <w:sz w:val="24"/>
          <w:szCs w:val="24"/>
        </w:rPr>
        <w:tab/>
      </w:r>
      <w:r w:rsidR="00721752" w:rsidRPr="00721752">
        <w:rPr>
          <w:sz w:val="24"/>
          <w:szCs w:val="24"/>
        </w:rPr>
        <w:t>Relevant Legislation –</w:t>
      </w:r>
      <w:r w:rsidR="00721752">
        <w:rPr>
          <w:sz w:val="24"/>
          <w:szCs w:val="24"/>
        </w:rPr>
        <w:t xml:space="preserve"> </w:t>
      </w:r>
      <w:r w:rsidR="00721752" w:rsidRPr="00E3491C">
        <w:rPr>
          <w:sz w:val="24"/>
          <w:szCs w:val="24"/>
        </w:rPr>
        <w:t xml:space="preserve">All procurement </w:t>
      </w:r>
      <w:r w:rsidR="00721752">
        <w:rPr>
          <w:sz w:val="24"/>
          <w:szCs w:val="24"/>
        </w:rPr>
        <w:t xml:space="preserve">must be </w:t>
      </w:r>
      <w:r w:rsidR="00721752" w:rsidRPr="00E3491C">
        <w:rPr>
          <w:sz w:val="24"/>
          <w:szCs w:val="24"/>
        </w:rPr>
        <w:t>undertaken in compliance with Public Contracts Regulations (2006), where the value exceeds the European threshold, or in accordance with the Council’s procurement rules for those below the threshold.</w:t>
      </w:r>
    </w:p>
    <w:p w:rsidR="00E65314" w:rsidRPr="00721752" w:rsidRDefault="00E65314" w:rsidP="00721752">
      <w:pPr>
        <w:tabs>
          <w:tab w:val="left" w:pos="720"/>
        </w:tabs>
        <w:ind w:left="720" w:hanging="720"/>
        <w:rPr>
          <w:sz w:val="24"/>
          <w:szCs w:val="24"/>
        </w:rPr>
      </w:pPr>
    </w:p>
    <w:p w:rsidR="00E65314" w:rsidRPr="00721752" w:rsidRDefault="00E65314" w:rsidP="007A7C6B">
      <w:pPr>
        <w:numPr>
          <w:ilvl w:val="0"/>
          <w:numId w:val="1"/>
        </w:numPr>
        <w:tabs>
          <w:tab w:val="num" w:pos="0"/>
          <w:tab w:val="left" w:pos="720"/>
        </w:tabs>
        <w:ind w:left="0" w:firstLine="0"/>
        <w:rPr>
          <w:sz w:val="24"/>
          <w:szCs w:val="24"/>
        </w:rPr>
      </w:pPr>
      <w:r w:rsidRPr="00721752">
        <w:rPr>
          <w:sz w:val="24"/>
          <w:szCs w:val="24"/>
        </w:rPr>
        <w:t>Human Rights</w:t>
      </w:r>
    </w:p>
    <w:p w:rsidR="007A7C6B" w:rsidRPr="00FA6570" w:rsidRDefault="007A7C6B" w:rsidP="007A7C6B">
      <w:pPr>
        <w:tabs>
          <w:tab w:val="left" w:pos="720"/>
        </w:tabs>
        <w:ind w:left="360"/>
        <w:rPr>
          <w:sz w:val="24"/>
          <w:szCs w:val="24"/>
          <w:highlight w:val="yellow"/>
        </w:rPr>
      </w:pPr>
    </w:p>
    <w:p w:rsidR="00721752" w:rsidRDefault="00721752" w:rsidP="00721752">
      <w:pPr>
        <w:ind w:left="720"/>
        <w:rPr>
          <w:sz w:val="24"/>
          <w:szCs w:val="24"/>
        </w:rPr>
      </w:pPr>
      <w:r>
        <w:rPr>
          <w:sz w:val="24"/>
          <w:szCs w:val="24"/>
        </w:rPr>
        <w:t>It is not considered that the recommendation within this report will infringe on human rights, it is also important to note than anyone not wishing to have work carried out will have the right to refuse.</w:t>
      </w:r>
    </w:p>
    <w:p w:rsidR="007A7C6B" w:rsidRPr="00FA6570" w:rsidRDefault="007A7C6B" w:rsidP="007A7C6B">
      <w:pPr>
        <w:tabs>
          <w:tab w:val="left" w:pos="720"/>
        </w:tabs>
        <w:ind w:left="720"/>
        <w:rPr>
          <w:sz w:val="24"/>
          <w:szCs w:val="24"/>
          <w:highlight w:val="yellow"/>
        </w:rPr>
      </w:pPr>
    </w:p>
    <w:p w:rsidR="002D60D5" w:rsidRPr="00721752" w:rsidRDefault="00E65314" w:rsidP="00830619">
      <w:pPr>
        <w:tabs>
          <w:tab w:val="left" w:pos="720"/>
        </w:tabs>
        <w:ind w:left="720" w:hanging="720"/>
        <w:rPr>
          <w:sz w:val="24"/>
          <w:szCs w:val="24"/>
        </w:rPr>
      </w:pPr>
      <w:r w:rsidRPr="00721752">
        <w:rPr>
          <w:sz w:val="24"/>
          <w:szCs w:val="24"/>
        </w:rPr>
        <w:t>(c</w:t>
      </w:r>
      <w:r w:rsidR="002D60D5" w:rsidRPr="00721752">
        <w:rPr>
          <w:sz w:val="24"/>
          <w:szCs w:val="24"/>
        </w:rPr>
        <w:t>)</w:t>
      </w:r>
      <w:r w:rsidR="002D60D5" w:rsidRPr="00721752">
        <w:rPr>
          <w:sz w:val="24"/>
          <w:szCs w:val="24"/>
        </w:rPr>
        <w:tab/>
        <w:t>Equality and Diversity</w:t>
      </w:r>
    </w:p>
    <w:p w:rsidR="007A7C6B" w:rsidRPr="00FA6570" w:rsidRDefault="007A7C6B" w:rsidP="00830619">
      <w:pPr>
        <w:tabs>
          <w:tab w:val="left" w:pos="720"/>
        </w:tabs>
        <w:ind w:left="720" w:hanging="720"/>
        <w:rPr>
          <w:sz w:val="24"/>
          <w:szCs w:val="24"/>
          <w:highlight w:val="yellow"/>
        </w:rPr>
      </w:pPr>
    </w:p>
    <w:p w:rsidR="00721752" w:rsidRDefault="00721752" w:rsidP="00721752">
      <w:pPr>
        <w:ind w:left="720"/>
        <w:rPr>
          <w:sz w:val="24"/>
          <w:szCs w:val="24"/>
        </w:rPr>
      </w:pPr>
      <w:r w:rsidRPr="00582C4D">
        <w:rPr>
          <w:sz w:val="24"/>
          <w:szCs w:val="24"/>
        </w:rPr>
        <w:t>In reaching the above conclusion due regard has been taken of the general equality duty contained in the Equality Act 2010.</w:t>
      </w:r>
      <w:r>
        <w:rPr>
          <w:sz w:val="24"/>
          <w:szCs w:val="24"/>
        </w:rPr>
        <w:t xml:space="preserve">  This Act covers the issues which were formerly encompassed in the legislation detailed below:</w:t>
      </w:r>
    </w:p>
    <w:p w:rsidR="00721752" w:rsidRDefault="00721752" w:rsidP="00721752">
      <w:pPr>
        <w:ind w:left="720"/>
        <w:rPr>
          <w:sz w:val="24"/>
          <w:szCs w:val="24"/>
        </w:rPr>
      </w:pPr>
    </w:p>
    <w:p w:rsidR="00721752" w:rsidRDefault="00721752" w:rsidP="00721752">
      <w:pPr>
        <w:ind w:left="720"/>
        <w:rPr>
          <w:sz w:val="24"/>
          <w:szCs w:val="24"/>
        </w:rPr>
      </w:pPr>
      <w:r>
        <w:rPr>
          <w:sz w:val="24"/>
          <w:szCs w:val="24"/>
        </w:rPr>
        <w:tab/>
        <w:t>Disability Discrimination Act 1995</w:t>
      </w:r>
    </w:p>
    <w:p w:rsidR="00721752" w:rsidRDefault="00721752" w:rsidP="00721752">
      <w:pPr>
        <w:ind w:left="720"/>
        <w:rPr>
          <w:sz w:val="24"/>
          <w:szCs w:val="24"/>
        </w:rPr>
      </w:pPr>
      <w:r>
        <w:rPr>
          <w:sz w:val="24"/>
          <w:szCs w:val="24"/>
        </w:rPr>
        <w:tab/>
        <w:t>Race Relations Act 1976</w:t>
      </w:r>
    </w:p>
    <w:p w:rsidR="00721752" w:rsidRDefault="00721752" w:rsidP="00721752">
      <w:pPr>
        <w:ind w:left="840"/>
        <w:rPr>
          <w:sz w:val="24"/>
          <w:szCs w:val="24"/>
        </w:rPr>
      </w:pPr>
      <w:r>
        <w:rPr>
          <w:sz w:val="24"/>
          <w:szCs w:val="24"/>
        </w:rPr>
        <w:tab/>
        <w:t>Sex Discrimination Act 1976</w:t>
      </w:r>
    </w:p>
    <w:p w:rsidR="002D60D5" w:rsidRPr="00FA6570" w:rsidRDefault="002D60D5" w:rsidP="00830619">
      <w:pPr>
        <w:tabs>
          <w:tab w:val="left" w:pos="720"/>
        </w:tabs>
        <w:ind w:left="720" w:hanging="720"/>
        <w:rPr>
          <w:sz w:val="24"/>
          <w:szCs w:val="24"/>
          <w:highlight w:val="yellow"/>
        </w:rPr>
      </w:pPr>
    </w:p>
    <w:p w:rsidR="002D60D5" w:rsidRPr="00721752" w:rsidRDefault="00E65314" w:rsidP="00830619">
      <w:pPr>
        <w:tabs>
          <w:tab w:val="left" w:pos="720"/>
        </w:tabs>
        <w:ind w:left="720" w:hanging="720"/>
        <w:rPr>
          <w:sz w:val="24"/>
          <w:szCs w:val="24"/>
        </w:rPr>
      </w:pPr>
      <w:r w:rsidRPr="00721752">
        <w:rPr>
          <w:sz w:val="24"/>
          <w:szCs w:val="24"/>
        </w:rPr>
        <w:t>(d</w:t>
      </w:r>
      <w:r w:rsidR="002D60D5" w:rsidRPr="00721752">
        <w:rPr>
          <w:sz w:val="24"/>
          <w:szCs w:val="24"/>
        </w:rPr>
        <w:t>)</w:t>
      </w:r>
      <w:r w:rsidR="002D60D5" w:rsidRPr="00721752">
        <w:rPr>
          <w:sz w:val="24"/>
          <w:szCs w:val="24"/>
        </w:rPr>
        <w:tab/>
      </w:r>
      <w:r w:rsidR="00460CBF" w:rsidRPr="00721752">
        <w:rPr>
          <w:sz w:val="24"/>
          <w:szCs w:val="24"/>
        </w:rPr>
        <w:t>Climate change and environmental sustainability</w:t>
      </w:r>
    </w:p>
    <w:p w:rsidR="007A7C6B" w:rsidRPr="00721752" w:rsidRDefault="007A7C6B" w:rsidP="00830619">
      <w:pPr>
        <w:tabs>
          <w:tab w:val="left" w:pos="720"/>
        </w:tabs>
        <w:ind w:left="720" w:hanging="720"/>
        <w:rPr>
          <w:sz w:val="24"/>
          <w:szCs w:val="24"/>
        </w:rPr>
      </w:pPr>
    </w:p>
    <w:p w:rsidR="007A7C6B" w:rsidRPr="00721752" w:rsidRDefault="007A7C6B" w:rsidP="00830619">
      <w:pPr>
        <w:tabs>
          <w:tab w:val="left" w:pos="720"/>
        </w:tabs>
        <w:ind w:left="720" w:hanging="720"/>
        <w:rPr>
          <w:sz w:val="24"/>
          <w:szCs w:val="24"/>
        </w:rPr>
      </w:pPr>
      <w:r w:rsidRPr="00721752">
        <w:rPr>
          <w:sz w:val="24"/>
          <w:szCs w:val="24"/>
        </w:rPr>
        <w:tab/>
      </w:r>
      <w:r w:rsidR="00567DF5" w:rsidRPr="00721752">
        <w:rPr>
          <w:sz w:val="24"/>
          <w:szCs w:val="24"/>
        </w:rPr>
        <w:t>No direct link with climate change</w:t>
      </w:r>
    </w:p>
    <w:p w:rsidR="002D60D5" w:rsidRPr="00721752" w:rsidRDefault="002D60D5" w:rsidP="00830619">
      <w:pPr>
        <w:tabs>
          <w:tab w:val="left" w:pos="720"/>
        </w:tabs>
        <w:ind w:left="720" w:hanging="720"/>
        <w:rPr>
          <w:sz w:val="24"/>
          <w:szCs w:val="24"/>
        </w:rPr>
      </w:pPr>
    </w:p>
    <w:p w:rsidR="002D60D5" w:rsidRPr="00721752" w:rsidRDefault="00E65314" w:rsidP="00830619">
      <w:pPr>
        <w:tabs>
          <w:tab w:val="left" w:pos="720"/>
        </w:tabs>
        <w:ind w:left="720" w:hanging="720"/>
        <w:rPr>
          <w:sz w:val="24"/>
          <w:szCs w:val="24"/>
        </w:rPr>
      </w:pPr>
      <w:r w:rsidRPr="00721752">
        <w:rPr>
          <w:sz w:val="24"/>
          <w:szCs w:val="24"/>
        </w:rPr>
        <w:t>(e</w:t>
      </w:r>
      <w:r w:rsidR="002D60D5" w:rsidRPr="00721752">
        <w:rPr>
          <w:sz w:val="24"/>
          <w:szCs w:val="24"/>
        </w:rPr>
        <w:t>)</w:t>
      </w:r>
      <w:r w:rsidR="002D60D5" w:rsidRPr="00721752">
        <w:rPr>
          <w:sz w:val="24"/>
          <w:szCs w:val="24"/>
        </w:rPr>
        <w:tab/>
        <w:t>Crime and Disorder</w:t>
      </w:r>
    </w:p>
    <w:p w:rsidR="00183F38" w:rsidRPr="00721752" w:rsidRDefault="00183F38" w:rsidP="00830619">
      <w:pPr>
        <w:tabs>
          <w:tab w:val="left" w:pos="720"/>
        </w:tabs>
        <w:ind w:left="720" w:hanging="720"/>
        <w:rPr>
          <w:sz w:val="24"/>
          <w:szCs w:val="24"/>
        </w:rPr>
      </w:pPr>
    </w:p>
    <w:p w:rsidR="00183F38" w:rsidRPr="00721752" w:rsidRDefault="00183F38" w:rsidP="00830619">
      <w:pPr>
        <w:tabs>
          <w:tab w:val="left" w:pos="720"/>
        </w:tabs>
        <w:ind w:left="720" w:hanging="720"/>
        <w:rPr>
          <w:sz w:val="24"/>
          <w:szCs w:val="24"/>
        </w:rPr>
      </w:pPr>
      <w:r w:rsidRPr="00721752">
        <w:rPr>
          <w:sz w:val="24"/>
          <w:szCs w:val="24"/>
        </w:rPr>
        <w:tab/>
        <w:t xml:space="preserve">The </w:t>
      </w:r>
      <w:r w:rsidRPr="00721752">
        <w:rPr>
          <w:sz w:val="24"/>
        </w:rPr>
        <w:t>submission has no impact on crime and disorder</w:t>
      </w:r>
    </w:p>
    <w:p w:rsidR="002D60D5" w:rsidRPr="00FA6570" w:rsidRDefault="002D60D5" w:rsidP="00830619">
      <w:pPr>
        <w:tabs>
          <w:tab w:val="left" w:pos="720"/>
        </w:tabs>
        <w:ind w:left="720" w:hanging="720"/>
        <w:rPr>
          <w:i/>
          <w:sz w:val="24"/>
          <w:szCs w:val="24"/>
          <w:highlight w:val="yellow"/>
        </w:rPr>
      </w:pPr>
    </w:p>
    <w:p w:rsidR="002D60D5" w:rsidRPr="00FA6570" w:rsidRDefault="00E65314" w:rsidP="00830619">
      <w:pPr>
        <w:tabs>
          <w:tab w:val="left" w:pos="720"/>
        </w:tabs>
        <w:ind w:left="720" w:hanging="720"/>
        <w:rPr>
          <w:sz w:val="24"/>
          <w:szCs w:val="24"/>
          <w:highlight w:val="yellow"/>
        </w:rPr>
      </w:pPr>
      <w:r w:rsidRPr="00721752">
        <w:rPr>
          <w:sz w:val="24"/>
          <w:szCs w:val="24"/>
        </w:rPr>
        <w:t>(f</w:t>
      </w:r>
      <w:r w:rsidR="002D60D5" w:rsidRPr="00721752">
        <w:rPr>
          <w:sz w:val="24"/>
          <w:szCs w:val="24"/>
        </w:rPr>
        <w:t xml:space="preserve">) </w:t>
      </w:r>
      <w:r w:rsidR="002D60D5" w:rsidRPr="00721752">
        <w:rPr>
          <w:sz w:val="24"/>
          <w:szCs w:val="24"/>
        </w:rPr>
        <w:tab/>
        <w:t xml:space="preserve">Budget </w:t>
      </w:r>
      <w:r w:rsidRPr="00721752">
        <w:rPr>
          <w:sz w:val="24"/>
          <w:szCs w:val="24"/>
        </w:rPr>
        <w:t>/</w:t>
      </w:r>
      <w:r w:rsidR="002D60D5" w:rsidRPr="00721752">
        <w:rPr>
          <w:sz w:val="24"/>
          <w:szCs w:val="24"/>
        </w:rPr>
        <w:t xml:space="preserve">Resource  </w:t>
      </w:r>
    </w:p>
    <w:p w:rsidR="00371AE5" w:rsidRPr="00721752" w:rsidRDefault="00371AE5" w:rsidP="00830619">
      <w:pPr>
        <w:tabs>
          <w:tab w:val="left" w:pos="720"/>
        </w:tabs>
        <w:ind w:left="720" w:hanging="720"/>
        <w:rPr>
          <w:sz w:val="24"/>
          <w:szCs w:val="24"/>
        </w:rPr>
      </w:pPr>
      <w:r w:rsidRPr="00721752">
        <w:rPr>
          <w:sz w:val="24"/>
          <w:szCs w:val="24"/>
        </w:rPr>
        <w:tab/>
      </w:r>
    </w:p>
    <w:p w:rsidR="00721752" w:rsidRDefault="00721752" w:rsidP="00721752">
      <w:pPr>
        <w:ind w:left="720"/>
        <w:rPr>
          <w:sz w:val="24"/>
          <w:szCs w:val="24"/>
        </w:rPr>
      </w:pPr>
      <w:r w:rsidRPr="0030270A">
        <w:rPr>
          <w:sz w:val="24"/>
          <w:szCs w:val="24"/>
        </w:rPr>
        <w:t>As this contract is a renewal of an existing contract, all associated costs are contained with the existing budgets.  There are no additional costs associated with the award of this contract.</w:t>
      </w:r>
    </w:p>
    <w:p w:rsidR="00721752" w:rsidRDefault="00721752" w:rsidP="00721752">
      <w:pPr>
        <w:ind w:left="720"/>
        <w:rPr>
          <w:sz w:val="24"/>
          <w:szCs w:val="24"/>
        </w:rPr>
      </w:pPr>
    </w:p>
    <w:p w:rsidR="000F67FD" w:rsidRPr="00721752" w:rsidRDefault="002D60D5" w:rsidP="00721752">
      <w:pPr>
        <w:tabs>
          <w:tab w:val="left" w:pos="720"/>
        </w:tabs>
        <w:ind w:left="720" w:hanging="720"/>
        <w:rPr>
          <w:sz w:val="24"/>
          <w:szCs w:val="24"/>
        </w:rPr>
      </w:pPr>
      <w:r w:rsidRPr="00721752">
        <w:rPr>
          <w:b/>
          <w:sz w:val="24"/>
          <w:szCs w:val="24"/>
        </w:rPr>
        <w:t>8</w:t>
      </w:r>
      <w:r w:rsidR="000F67FD" w:rsidRPr="00721752">
        <w:rPr>
          <w:b/>
          <w:sz w:val="24"/>
          <w:szCs w:val="24"/>
        </w:rPr>
        <w:t>.</w:t>
      </w:r>
      <w:r w:rsidR="000F67FD" w:rsidRPr="00721752">
        <w:rPr>
          <w:b/>
          <w:sz w:val="24"/>
          <w:szCs w:val="24"/>
        </w:rPr>
        <w:tab/>
        <w:t>COMMENTS OF STATUTORY OFFICERS</w:t>
      </w:r>
    </w:p>
    <w:p w:rsidR="001E0257" w:rsidRPr="00124082" w:rsidRDefault="001E0257" w:rsidP="0089260C">
      <w:pPr>
        <w:rPr>
          <w:sz w:val="24"/>
          <w:szCs w:val="24"/>
        </w:rPr>
      </w:pPr>
    </w:p>
    <w:p w:rsidR="000F67FD" w:rsidRPr="007A5B27" w:rsidRDefault="006A1665" w:rsidP="00124082">
      <w:pPr>
        <w:ind w:left="720" w:hanging="720"/>
        <w:rPr>
          <w:sz w:val="24"/>
          <w:szCs w:val="24"/>
        </w:rPr>
      </w:pPr>
      <w:r w:rsidRPr="007A5B27">
        <w:rPr>
          <w:sz w:val="24"/>
          <w:szCs w:val="24"/>
        </w:rPr>
        <w:t>(a</w:t>
      </w:r>
      <w:r w:rsidR="001B1635" w:rsidRPr="007A5B27">
        <w:rPr>
          <w:sz w:val="24"/>
          <w:szCs w:val="24"/>
        </w:rPr>
        <w:t>)</w:t>
      </w:r>
      <w:r w:rsidR="001B1635" w:rsidRPr="007A5B27">
        <w:rPr>
          <w:sz w:val="24"/>
          <w:szCs w:val="24"/>
        </w:rPr>
        <w:tab/>
        <w:t>Monitoring Officer –</w:t>
      </w:r>
      <w:r w:rsidRPr="007A5B27">
        <w:rPr>
          <w:sz w:val="24"/>
          <w:szCs w:val="24"/>
        </w:rPr>
        <w:t xml:space="preserve"> </w:t>
      </w:r>
      <w:r w:rsidR="006B4B9E" w:rsidRPr="007A5B27">
        <w:rPr>
          <w:sz w:val="24"/>
          <w:szCs w:val="24"/>
        </w:rPr>
        <w:t>The award of the Contract is in compliance with the council’s contract procedure rules and procurement legislation. Legal services will be instructed to complete the contract.</w:t>
      </w:r>
    </w:p>
    <w:p w:rsidR="00FE4988" w:rsidRPr="00124082" w:rsidRDefault="006A1665" w:rsidP="00877B75">
      <w:pPr>
        <w:ind w:left="720" w:hanging="720"/>
        <w:rPr>
          <w:sz w:val="24"/>
          <w:szCs w:val="24"/>
        </w:rPr>
      </w:pPr>
      <w:r w:rsidRPr="00EA5192">
        <w:rPr>
          <w:sz w:val="24"/>
          <w:szCs w:val="24"/>
        </w:rPr>
        <w:t>(b</w:t>
      </w:r>
      <w:r w:rsidR="000F67FD" w:rsidRPr="00EA5192">
        <w:rPr>
          <w:sz w:val="24"/>
          <w:szCs w:val="24"/>
        </w:rPr>
        <w:t>)</w:t>
      </w:r>
      <w:r w:rsidR="002D60D5" w:rsidRPr="00EA5192">
        <w:rPr>
          <w:sz w:val="24"/>
          <w:szCs w:val="24"/>
        </w:rPr>
        <w:tab/>
        <w:t>Section 151 Officer</w:t>
      </w:r>
      <w:r w:rsidR="001B1635" w:rsidRPr="00EA5192">
        <w:rPr>
          <w:sz w:val="24"/>
          <w:szCs w:val="24"/>
        </w:rPr>
        <w:t xml:space="preserve"> </w:t>
      </w:r>
      <w:r w:rsidR="001E0257" w:rsidRPr="00EA5192">
        <w:rPr>
          <w:sz w:val="24"/>
          <w:szCs w:val="24"/>
        </w:rPr>
        <w:t>–</w:t>
      </w:r>
      <w:r>
        <w:rPr>
          <w:sz w:val="24"/>
          <w:szCs w:val="24"/>
        </w:rPr>
        <w:t xml:space="preserve"> </w:t>
      </w:r>
      <w:r w:rsidR="00EA5192">
        <w:rPr>
          <w:sz w:val="24"/>
          <w:szCs w:val="24"/>
        </w:rPr>
        <w:t>No specific comments</w:t>
      </w:r>
    </w:p>
    <w:p w:rsidR="000F67FD" w:rsidRPr="00124082" w:rsidRDefault="000F67FD" w:rsidP="00023547">
      <w:pPr>
        <w:ind w:left="720" w:hanging="720"/>
        <w:rPr>
          <w:sz w:val="24"/>
          <w:szCs w:val="24"/>
        </w:rPr>
      </w:pPr>
    </w:p>
    <w:p w:rsidR="00BE210E" w:rsidRPr="00124082" w:rsidRDefault="002D60D5" w:rsidP="0089260C">
      <w:pPr>
        <w:rPr>
          <w:b/>
          <w:sz w:val="24"/>
          <w:szCs w:val="24"/>
        </w:rPr>
      </w:pPr>
      <w:r w:rsidRPr="00124082">
        <w:rPr>
          <w:b/>
          <w:sz w:val="24"/>
          <w:szCs w:val="24"/>
        </w:rPr>
        <w:t>9</w:t>
      </w:r>
      <w:r w:rsidR="00B920DF" w:rsidRPr="00124082">
        <w:rPr>
          <w:b/>
          <w:sz w:val="24"/>
          <w:szCs w:val="24"/>
        </w:rPr>
        <w:t>.</w:t>
      </w:r>
      <w:r w:rsidR="00B920DF" w:rsidRPr="00124082">
        <w:rPr>
          <w:b/>
          <w:sz w:val="24"/>
          <w:szCs w:val="24"/>
        </w:rPr>
        <w:tab/>
        <w:t>CO</w:t>
      </w:r>
      <w:r w:rsidR="00BE210E" w:rsidRPr="00124082">
        <w:rPr>
          <w:b/>
          <w:sz w:val="24"/>
          <w:szCs w:val="24"/>
        </w:rPr>
        <w:t>NSULTATION</w:t>
      </w:r>
    </w:p>
    <w:p w:rsidR="00BE210E" w:rsidRPr="00124082" w:rsidRDefault="00BE210E" w:rsidP="0089260C">
      <w:pPr>
        <w:rPr>
          <w:sz w:val="24"/>
          <w:szCs w:val="24"/>
        </w:rPr>
      </w:pPr>
    </w:p>
    <w:p w:rsidR="0089260C" w:rsidRPr="00604B9F" w:rsidRDefault="00CF0B8F" w:rsidP="0089260C">
      <w:pPr>
        <w:rPr>
          <w:sz w:val="24"/>
          <w:szCs w:val="24"/>
        </w:rPr>
      </w:pPr>
      <w:r w:rsidRPr="00124082">
        <w:rPr>
          <w:sz w:val="24"/>
          <w:szCs w:val="24"/>
        </w:rPr>
        <w:t>None</w:t>
      </w:r>
      <w:r w:rsidR="00371AE5" w:rsidRPr="00124082">
        <w:rPr>
          <w:sz w:val="24"/>
          <w:szCs w:val="24"/>
        </w:rPr>
        <w:t>.</w:t>
      </w:r>
      <w:r w:rsidR="007A7C6B" w:rsidRPr="00604B9F">
        <w:rPr>
          <w:sz w:val="24"/>
          <w:szCs w:val="24"/>
        </w:rPr>
        <w:t xml:space="preserve"> </w:t>
      </w:r>
    </w:p>
    <w:p w:rsidR="00BD7D4B" w:rsidRPr="00604B9F" w:rsidRDefault="00BD7D4B" w:rsidP="0089260C">
      <w:pPr>
        <w:rPr>
          <w:b/>
          <w:sz w:val="24"/>
          <w:szCs w:val="24"/>
        </w:rPr>
      </w:pPr>
    </w:p>
    <w:p w:rsidR="00BE210E" w:rsidRPr="00604B9F" w:rsidRDefault="002D60D5" w:rsidP="0089260C">
      <w:pPr>
        <w:rPr>
          <w:b/>
          <w:sz w:val="24"/>
          <w:szCs w:val="24"/>
        </w:rPr>
      </w:pPr>
      <w:r w:rsidRPr="00604B9F">
        <w:rPr>
          <w:b/>
          <w:sz w:val="24"/>
          <w:szCs w:val="24"/>
        </w:rPr>
        <w:t>10</w:t>
      </w:r>
      <w:r w:rsidR="00B920DF" w:rsidRPr="00604B9F">
        <w:rPr>
          <w:b/>
          <w:sz w:val="24"/>
          <w:szCs w:val="24"/>
        </w:rPr>
        <w:t>.</w:t>
      </w:r>
      <w:r w:rsidR="00B920DF" w:rsidRPr="00604B9F">
        <w:rPr>
          <w:b/>
          <w:sz w:val="24"/>
          <w:szCs w:val="24"/>
        </w:rPr>
        <w:tab/>
        <w:t>BA</w:t>
      </w:r>
      <w:r w:rsidR="00BE210E" w:rsidRPr="00604B9F">
        <w:rPr>
          <w:b/>
          <w:sz w:val="24"/>
          <w:szCs w:val="24"/>
        </w:rPr>
        <w:t>CKGROUND PAPERS</w:t>
      </w:r>
    </w:p>
    <w:p w:rsidR="00BE210E" w:rsidRPr="00604B9F" w:rsidRDefault="00BE210E" w:rsidP="0089260C">
      <w:pPr>
        <w:rPr>
          <w:sz w:val="24"/>
          <w:szCs w:val="24"/>
        </w:rPr>
      </w:pPr>
    </w:p>
    <w:p w:rsidR="007A7C6B" w:rsidRPr="00604B9F" w:rsidRDefault="007A7C6B" w:rsidP="007A7C6B">
      <w:pPr>
        <w:rPr>
          <w:sz w:val="24"/>
          <w:szCs w:val="24"/>
        </w:rPr>
      </w:pPr>
      <w:r w:rsidRPr="00604B9F">
        <w:rPr>
          <w:sz w:val="24"/>
          <w:szCs w:val="24"/>
        </w:rPr>
        <w:t xml:space="preserve">Documentation submitted by </w:t>
      </w:r>
      <w:r w:rsidR="00FA6570">
        <w:rPr>
          <w:sz w:val="24"/>
          <w:szCs w:val="24"/>
        </w:rPr>
        <w:t>Nottingham city Procurement</w:t>
      </w:r>
      <w:r w:rsidRPr="00604B9F">
        <w:rPr>
          <w:sz w:val="24"/>
          <w:szCs w:val="24"/>
        </w:rPr>
        <w:t xml:space="preserve"> in support of the</w:t>
      </w:r>
      <w:r w:rsidR="00567DF5">
        <w:rPr>
          <w:sz w:val="24"/>
          <w:szCs w:val="24"/>
        </w:rPr>
        <w:t xml:space="preserve"> proposal held</w:t>
      </w:r>
      <w:r w:rsidR="00371AE5" w:rsidRPr="00604B9F">
        <w:rPr>
          <w:sz w:val="24"/>
        </w:rPr>
        <w:t xml:space="preserve"> by the author of the report.</w:t>
      </w:r>
    </w:p>
    <w:p w:rsidR="003E50A6" w:rsidRPr="00604B9F" w:rsidRDefault="003E50A6" w:rsidP="0089260C">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88"/>
        <w:gridCol w:w="296"/>
        <w:gridCol w:w="6910"/>
      </w:tblGrid>
      <w:tr w:rsidR="008633DD" w:rsidRPr="00604B9F">
        <w:tc>
          <w:tcPr>
            <w:tcW w:w="1788" w:type="dxa"/>
          </w:tcPr>
          <w:p w:rsidR="008633DD" w:rsidRPr="00604B9F" w:rsidRDefault="008633DD" w:rsidP="0089260C">
            <w:pPr>
              <w:rPr>
                <w:rFonts w:cs="Arial"/>
                <w:sz w:val="24"/>
                <w:szCs w:val="24"/>
              </w:rPr>
            </w:pPr>
            <w:r w:rsidRPr="00604B9F">
              <w:rPr>
                <w:rFonts w:cs="Arial"/>
                <w:sz w:val="24"/>
                <w:szCs w:val="24"/>
              </w:rPr>
              <w:t>Report Author</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8633DD" w:rsidRPr="00604B9F" w:rsidRDefault="00872D2A" w:rsidP="00567DF5">
            <w:pPr>
              <w:rPr>
                <w:rFonts w:cs="Arial"/>
                <w:sz w:val="24"/>
                <w:szCs w:val="24"/>
              </w:rPr>
            </w:pPr>
            <w:r>
              <w:rPr>
                <w:rFonts w:cs="Arial"/>
                <w:sz w:val="24"/>
                <w:szCs w:val="24"/>
              </w:rPr>
              <w:t>Craig Tinsley</w:t>
            </w:r>
          </w:p>
        </w:tc>
      </w:tr>
      <w:tr w:rsidR="008633DD" w:rsidRPr="00604B9F">
        <w:tc>
          <w:tcPr>
            <w:tcW w:w="1788" w:type="dxa"/>
          </w:tcPr>
          <w:p w:rsidR="008633DD" w:rsidRPr="00604B9F" w:rsidRDefault="008633DD" w:rsidP="0089260C">
            <w:pPr>
              <w:rPr>
                <w:rFonts w:cs="Arial"/>
                <w:sz w:val="24"/>
                <w:szCs w:val="24"/>
              </w:rPr>
            </w:pPr>
            <w:r w:rsidRPr="00604B9F">
              <w:rPr>
                <w:rFonts w:cs="Arial"/>
                <w:sz w:val="24"/>
                <w:szCs w:val="24"/>
              </w:rPr>
              <w:t>Designation</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8633DD" w:rsidRPr="00604B9F" w:rsidRDefault="00872D2A" w:rsidP="00567DF5">
            <w:pPr>
              <w:rPr>
                <w:rFonts w:cs="Arial"/>
                <w:sz w:val="24"/>
                <w:szCs w:val="24"/>
              </w:rPr>
            </w:pPr>
            <w:r>
              <w:rPr>
                <w:rFonts w:cs="Arial"/>
                <w:sz w:val="24"/>
                <w:szCs w:val="24"/>
              </w:rPr>
              <w:t>Repairs and Asset Man</w:t>
            </w:r>
            <w:r w:rsidR="00FA6570">
              <w:rPr>
                <w:rFonts w:cs="Arial"/>
                <w:sz w:val="24"/>
                <w:szCs w:val="24"/>
              </w:rPr>
              <w:t>ager</w:t>
            </w:r>
          </w:p>
        </w:tc>
      </w:tr>
      <w:tr w:rsidR="008633DD" w:rsidRPr="00604B9F">
        <w:tc>
          <w:tcPr>
            <w:tcW w:w="1788" w:type="dxa"/>
          </w:tcPr>
          <w:p w:rsidR="008633DD" w:rsidRPr="00604B9F" w:rsidRDefault="008633DD" w:rsidP="0089260C">
            <w:pPr>
              <w:rPr>
                <w:rFonts w:cs="Arial"/>
                <w:sz w:val="24"/>
                <w:szCs w:val="24"/>
              </w:rPr>
            </w:pPr>
            <w:r w:rsidRPr="00604B9F">
              <w:rPr>
                <w:rFonts w:cs="Arial"/>
                <w:sz w:val="24"/>
                <w:szCs w:val="24"/>
              </w:rPr>
              <w:t>Telephone</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8633DD" w:rsidRPr="00604B9F" w:rsidRDefault="00086F3D" w:rsidP="00FA6570">
            <w:pPr>
              <w:rPr>
                <w:rFonts w:cs="Arial"/>
                <w:sz w:val="24"/>
                <w:szCs w:val="24"/>
              </w:rPr>
            </w:pPr>
            <w:r w:rsidRPr="00604B9F">
              <w:rPr>
                <w:rFonts w:cs="Arial"/>
                <w:sz w:val="24"/>
                <w:szCs w:val="24"/>
              </w:rPr>
              <w:t>(01623) 463</w:t>
            </w:r>
            <w:r w:rsidR="00872D2A">
              <w:rPr>
                <w:rFonts w:cs="Arial"/>
                <w:sz w:val="24"/>
                <w:szCs w:val="24"/>
              </w:rPr>
              <w:t>393</w:t>
            </w:r>
          </w:p>
        </w:tc>
      </w:tr>
      <w:tr w:rsidR="008633DD" w:rsidRPr="00531CC4">
        <w:tc>
          <w:tcPr>
            <w:tcW w:w="1788" w:type="dxa"/>
          </w:tcPr>
          <w:p w:rsidR="008633DD" w:rsidRPr="00604B9F" w:rsidRDefault="008633DD" w:rsidP="0089260C">
            <w:pPr>
              <w:rPr>
                <w:rFonts w:cs="Arial"/>
                <w:sz w:val="24"/>
                <w:szCs w:val="24"/>
              </w:rPr>
            </w:pPr>
            <w:r w:rsidRPr="00604B9F">
              <w:rPr>
                <w:rFonts w:cs="Arial"/>
                <w:sz w:val="24"/>
                <w:szCs w:val="24"/>
              </w:rPr>
              <w:t>E-mail</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086F3D" w:rsidRPr="00531CC4" w:rsidRDefault="00F71784" w:rsidP="00FA6570">
            <w:pPr>
              <w:rPr>
                <w:rFonts w:cs="Arial"/>
                <w:sz w:val="24"/>
                <w:szCs w:val="24"/>
              </w:rPr>
            </w:pPr>
            <w:hyperlink r:id="rId8" w:history="1">
              <w:r w:rsidR="00872D2A">
                <w:rPr>
                  <w:rStyle w:val="Hyperlink"/>
                  <w:rFonts w:cs="Arial"/>
                  <w:sz w:val="24"/>
                  <w:szCs w:val="24"/>
                </w:rPr>
                <w:t>ctinsley</w:t>
              </w:r>
              <w:r w:rsidR="00FA6570">
                <w:rPr>
                  <w:rStyle w:val="Hyperlink"/>
                  <w:rFonts w:cs="Arial"/>
                  <w:sz w:val="24"/>
                  <w:szCs w:val="24"/>
                </w:rPr>
                <w:t>@mansfield.gov.uk</w:t>
              </w:r>
            </w:hyperlink>
          </w:p>
        </w:tc>
      </w:tr>
    </w:tbl>
    <w:p w:rsidR="008633DD" w:rsidRPr="00531CC4" w:rsidRDefault="008633DD" w:rsidP="00CF0B8F"/>
    <w:sectPr w:rsidR="008633DD" w:rsidRPr="00531CC4" w:rsidSect="00903305">
      <w:pgSz w:w="11906" w:h="16838" w:code="9"/>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80D" w:rsidRDefault="008F380D">
      <w:r>
        <w:separator/>
      </w:r>
    </w:p>
  </w:endnote>
  <w:endnote w:type="continuationSeparator" w:id="0">
    <w:p w:rsidR="008F380D" w:rsidRDefault="008F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80D" w:rsidRDefault="008F380D">
      <w:r>
        <w:separator/>
      </w:r>
    </w:p>
  </w:footnote>
  <w:footnote w:type="continuationSeparator" w:id="0">
    <w:p w:rsidR="008F380D" w:rsidRDefault="008F3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1B9"/>
    <w:multiLevelType w:val="hybridMultilevel"/>
    <w:tmpl w:val="B860B1DC"/>
    <w:lvl w:ilvl="0" w:tplc="E18650A8">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D5F0C35"/>
    <w:multiLevelType w:val="multilevel"/>
    <w:tmpl w:val="D04C97FE"/>
    <w:styleLink w:val="LxListStyle"/>
    <w:lvl w:ilvl="0">
      <w:start w:val="1"/>
      <w:numFmt w:val="decimal"/>
      <w:pStyle w:val="L0"/>
      <w:suff w:val="space"/>
      <w:lvlText w:val="Part %1:"/>
      <w:lvlJc w:val="left"/>
      <w:pPr>
        <w:ind w:left="0" w:firstLine="0"/>
      </w:pPr>
      <w:rPr>
        <w:b/>
        <w:i w:val="0"/>
        <w:color w:val="000000"/>
        <w:sz w:val="32"/>
      </w:rPr>
    </w:lvl>
    <w:lvl w:ilvl="1">
      <w:start w:val="1"/>
      <w:numFmt w:val="decimal"/>
      <w:lvlRestart w:val="0"/>
      <w:pStyle w:val="L1"/>
      <w:lvlText w:val="%2"/>
      <w:lvlJc w:val="left"/>
      <w:pPr>
        <w:tabs>
          <w:tab w:val="num" w:pos="680"/>
        </w:tabs>
        <w:ind w:left="680" w:hanging="680"/>
      </w:pPr>
      <w:rPr>
        <w:b/>
        <w:i w:val="0"/>
      </w:rPr>
    </w:lvl>
    <w:lvl w:ilvl="2">
      <w:start w:val="1"/>
      <w:numFmt w:val="decimal"/>
      <w:pStyle w:val="L2"/>
      <w:lvlText w:val="%2.%3"/>
      <w:lvlJc w:val="left"/>
      <w:pPr>
        <w:tabs>
          <w:tab w:val="num" w:pos="680"/>
        </w:tabs>
        <w:ind w:left="680" w:hanging="680"/>
      </w:pPr>
    </w:lvl>
    <w:lvl w:ilvl="3">
      <w:start w:val="1"/>
      <w:numFmt w:val="decimal"/>
      <w:pStyle w:val="L3"/>
      <w:lvlText w:val="%2.%3.%4"/>
      <w:lvlJc w:val="left"/>
      <w:pPr>
        <w:tabs>
          <w:tab w:val="num" w:pos="1418"/>
        </w:tabs>
        <w:ind w:left="1418" w:hanging="738"/>
      </w:pPr>
    </w:lvl>
    <w:lvl w:ilvl="4">
      <w:start w:val="1"/>
      <w:numFmt w:val="lowerRoman"/>
      <w:lvlRestart w:val="3"/>
      <w:pStyle w:val="L4"/>
      <w:lvlText w:val="%5)"/>
      <w:lvlJc w:val="left"/>
      <w:pPr>
        <w:tabs>
          <w:tab w:val="num" w:pos="1134"/>
        </w:tabs>
        <w:ind w:left="1134" w:hanging="454"/>
      </w:pPr>
    </w:lvl>
    <w:lvl w:ilvl="5">
      <w:start w:val="1"/>
      <w:numFmt w:val="lowerRoman"/>
      <w:lvlRestart w:val="4"/>
      <w:pStyle w:val="L5"/>
      <w:lvlText w:val="%6)"/>
      <w:lvlJc w:val="left"/>
      <w:pPr>
        <w:tabs>
          <w:tab w:val="num" w:pos="1985"/>
        </w:tabs>
        <w:ind w:left="1985" w:hanging="567"/>
      </w:pPr>
    </w:lvl>
    <w:lvl w:ilvl="6">
      <w:start w:val="1"/>
      <w:numFmt w:val="lowerRoman"/>
      <w:lvlRestart w:val="0"/>
      <w:pStyle w:val="Li1Italic"/>
      <w:lvlText w:val="%7)"/>
      <w:lvlJc w:val="left"/>
      <w:pPr>
        <w:tabs>
          <w:tab w:val="num" w:pos="680"/>
        </w:tabs>
        <w:ind w:left="680" w:hanging="680"/>
      </w:pPr>
    </w:lvl>
    <w:lvl w:ilvl="7">
      <w:start w:val="1"/>
      <w:numFmt w:val="lowerRoman"/>
      <w:pStyle w:val="Li2Italic"/>
      <w:lvlText w:val="%7.%8)"/>
      <w:lvlJc w:val="left"/>
      <w:pPr>
        <w:tabs>
          <w:tab w:val="num" w:pos="720"/>
        </w:tabs>
        <w:ind w:left="680" w:hanging="680"/>
      </w:pPr>
    </w:lvl>
    <w:lvl w:ilvl="8">
      <w:start w:val="1"/>
      <w:numFmt w:val="lowerRoman"/>
      <w:pStyle w:val="Li3Italic"/>
      <w:lvlText w:val="%7.%8.%9)"/>
      <w:lvlJc w:val="left"/>
      <w:pPr>
        <w:tabs>
          <w:tab w:val="num" w:pos="1418"/>
        </w:tabs>
        <w:ind w:left="1417" w:hanging="737"/>
      </w:pPr>
    </w:lvl>
  </w:abstractNum>
  <w:abstractNum w:abstractNumId="2" w15:restartNumberingAfterBreak="0">
    <w:nsid w:val="29736DB7"/>
    <w:multiLevelType w:val="multilevel"/>
    <w:tmpl w:val="C574720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DD801FE"/>
    <w:multiLevelType w:val="multilevel"/>
    <w:tmpl w:val="4DCE61A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3B9D3BB7"/>
    <w:multiLevelType w:val="multilevel"/>
    <w:tmpl w:val="2698FDB2"/>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AA140BD"/>
    <w:multiLevelType w:val="multilevel"/>
    <w:tmpl w:val="8318B4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373EBB"/>
    <w:multiLevelType w:val="hybridMultilevel"/>
    <w:tmpl w:val="8DE05254"/>
    <w:lvl w:ilvl="0" w:tplc="51A6C49E">
      <w:start w:val="2"/>
      <w:numFmt w:val="lowerLetter"/>
      <w:lvlText w:val="(%1)"/>
      <w:lvlJc w:val="left"/>
      <w:pPr>
        <w:tabs>
          <w:tab w:val="num" w:pos="3018"/>
        </w:tabs>
        <w:ind w:left="3018" w:hanging="750"/>
      </w:pPr>
      <w:rPr>
        <w:rFonts w:hint="default"/>
      </w:rPr>
    </w:lvl>
    <w:lvl w:ilvl="1" w:tplc="08090019" w:tentative="1">
      <w:start w:val="1"/>
      <w:numFmt w:val="lowerLetter"/>
      <w:lvlText w:val="%2."/>
      <w:lvlJc w:val="left"/>
      <w:pPr>
        <w:tabs>
          <w:tab w:val="num" w:pos="3348"/>
        </w:tabs>
        <w:ind w:left="3348" w:hanging="360"/>
      </w:pPr>
    </w:lvl>
    <w:lvl w:ilvl="2" w:tplc="0809001B" w:tentative="1">
      <w:start w:val="1"/>
      <w:numFmt w:val="lowerRoman"/>
      <w:lvlText w:val="%3."/>
      <w:lvlJc w:val="right"/>
      <w:pPr>
        <w:tabs>
          <w:tab w:val="num" w:pos="4068"/>
        </w:tabs>
        <w:ind w:left="4068" w:hanging="180"/>
      </w:pPr>
    </w:lvl>
    <w:lvl w:ilvl="3" w:tplc="0809000F" w:tentative="1">
      <w:start w:val="1"/>
      <w:numFmt w:val="decimal"/>
      <w:lvlText w:val="%4."/>
      <w:lvlJc w:val="left"/>
      <w:pPr>
        <w:tabs>
          <w:tab w:val="num" w:pos="4788"/>
        </w:tabs>
        <w:ind w:left="4788" w:hanging="360"/>
      </w:pPr>
    </w:lvl>
    <w:lvl w:ilvl="4" w:tplc="08090019" w:tentative="1">
      <w:start w:val="1"/>
      <w:numFmt w:val="lowerLetter"/>
      <w:lvlText w:val="%5."/>
      <w:lvlJc w:val="left"/>
      <w:pPr>
        <w:tabs>
          <w:tab w:val="num" w:pos="5508"/>
        </w:tabs>
        <w:ind w:left="5508" w:hanging="360"/>
      </w:pPr>
    </w:lvl>
    <w:lvl w:ilvl="5" w:tplc="0809001B" w:tentative="1">
      <w:start w:val="1"/>
      <w:numFmt w:val="lowerRoman"/>
      <w:lvlText w:val="%6."/>
      <w:lvlJc w:val="right"/>
      <w:pPr>
        <w:tabs>
          <w:tab w:val="num" w:pos="6228"/>
        </w:tabs>
        <w:ind w:left="6228" w:hanging="180"/>
      </w:pPr>
    </w:lvl>
    <w:lvl w:ilvl="6" w:tplc="0809000F" w:tentative="1">
      <w:start w:val="1"/>
      <w:numFmt w:val="decimal"/>
      <w:lvlText w:val="%7."/>
      <w:lvlJc w:val="left"/>
      <w:pPr>
        <w:tabs>
          <w:tab w:val="num" w:pos="6948"/>
        </w:tabs>
        <w:ind w:left="6948" w:hanging="360"/>
      </w:pPr>
    </w:lvl>
    <w:lvl w:ilvl="7" w:tplc="08090019" w:tentative="1">
      <w:start w:val="1"/>
      <w:numFmt w:val="lowerLetter"/>
      <w:lvlText w:val="%8."/>
      <w:lvlJc w:val="left"/>
      <w:pPr>
        <w:tabs>
          <w:tab w:val="num" w:pos="7668"/>
        </w:tabs>
        <w:ind w:left="7668" w:hanging="360"/>
      </w:pPr>
    </w:lvl>
    <w:lvl w:ilvl="8" w:tplc="0809001B" w:tentative="1">
      <w:start w:val="1"/>
      <w:numFmt w:val="lowerRoman"/>
      <w:lvlText w:val="%9."/>
      <w:lvlJc w:val="right"/>
      <w:pPr>
        <w:tabs>
          <w:tab w:val="num" w:pos="8388"/>
        </w:tabs>
        <w:ind w:left="8388" w:hanging="180"/>
      </w:pPr>
    </w:lvl>
  </w:abstractNum>
  <w:abstractNum w:abstractNumId="7" w15:restartNumberingAfterBreak="0">
    <w:nsid w:val="71FF140D"/>
    <w:multiLevelType w:val="multilevel"/>
    <w:tmpl w:val="C51EA8A4"/>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72766D37"/>
    <w:multiLevelType w:val="multilevel"/>
    <w:tmpl w:val="4CF26AB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5797CD3"/>
    <w:multiLevelType w:val="multilevel"/>
    <w:tmpl w:val="FA40304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6"/>
  </w:num>
  <w:num w:numId="2">
    <w:abstractNumId w:val="0"/>
  </w:num>
  <w:num w:numId="3">
    <w:abstractNumId w:val="8"/>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2"/>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019C"/>
    <w:rsid w:val="0002291A"/>
    <w:rsid w:val="00023547"/>
    <w:rsid w:val="00027D34"/>
    <w:rsid w:val="000453F4"/>
    <w:rsid w:val="000767BA"/>
    <w:rsid w:val="00086F3D"/>
    <w:rsid w:val="000A1A38"/>
    <w:rsid w:val="000D5957"/>
    <w:rsid w:val="000D7D53"/>
    <w:rsid w:val="000E3E3F"/>
    <w:rsid w:val="000F67FD"/>
    <w:rsid w:val="00104F1F"/>
    <w:rsid w:val="00124082"/>
    <w:rsid w:val="0012794C"/>
    <w:rsid w:val="00134A8B"/>
    <w:rsid w:val="00136CF0"/>
    <w:rsid w:val="001610C2"/>
    <w:rsid w:val="00183F38"/>
    <w:rsid w:val="0019438B"/>
    <w:rsid w:val="001963F1"/>
    <w:rsid w:val="001A31D4"/>
    <w:rsid w:val="001B1635"/>
    <w:rsid w:val="001B4FC6"/>
    <w:rsid w:val="001C3173"/>
    <w:rsid w:val="001E0257"/>
    <w:rsid w:val="001E1165"/>
    <w:rsid w:val="00216A10"/>
    <w:rsid w:val="00243CEA"/>
    <w:rsid w:val="00277069"/>
    <w:rsid w:val="00284211"/>
    <w:rsid w:val="002A11E8"/>
    <w:rsid w:val="002C7B7D"/>
    <w:rsid w:val="002D60D5"/>
    <w:rsid w:val="002E4564"/>
    <w:rsid w:val="002E585A"/>
    <w:rsid w:val="003066F1"/>
    <w:rsid w:val="00312DFE"/>
    <w:rsid w:val="00324423"/>
    <w:rsid w:val="00334D85"/>
    <w:rsid w:val="0035253C"/>
    <w:rsid w:val="00371AE5"/>
    <w:rsid w:val="003B46E6"/>
    <w:rsid w:val="003E50A6"/>
    <w:rsid w:val="003F1A62"/>
    <w:rsid w:val="004160F0"/>
    <w:rsid w:val="00417F55"/>
    <w:rsid w:val="00425813"/>
    <w:rsid w:val="00440055"/>
    <w:rsid w:val="00441715"/>
    <w:rsid w:val="00441C51"/>
    <w:rsid w:val="00460CBF"/>
    <w:rsid w:val="00474182"/>
    <w:rsid w:val="00484107"/>
    <w:rsid w:val="004B381C"/>
    <w:rsid w:val="004C756A"/>
    <w:rsid w:val="00520CB8"/>
    <w:rsid w:val="00531CC4"/>
    <w:rsid w:val="00535EB4"/>
    <w:rsid w:val="00542B72"/>
    <w:rsid w:val="00567DF5"/>
    <w:rsid w:val="005922CF"/>
    <w:rsid w:val="005939DA"/>
    <w:rsid w:val="00596EA4"/>
    <w:rsid w:val="005A590A"/>
    <w:rsid w:val="005A6CAF"/>
    <w:rsid w:val="005E1BCF"/>
    <w:rsid w:val="00604B9F"/>
    <w:rsid w:val="0061461B"/>
    <w:rsid w:val="00621F54"/>
    <w:rsid w:val="00625BE7"/>
    <w:rsid w:val="006344B0"/>
    <w:rsid w:val="006346BD"/>
    <w:rsid w:val="00665307"/>
    <w:rsid w:val="006740E6"/>
    <w:rsid w:val="006A1665"/>
    <w:rsid w:val="006B0022"/>
    <w:rsid w:val="006B4B9E"/>
    <w:rsid w:val="006C6A1F"/>
    <w:rsid w:val="006C6F12"/>
    <w:rsid w:val="006D5963"/>
    <w:rsid w:val="006E50F4"/>
    <w:rsid w:val="006E5587"/>
    <w:rsid w:val="006E5CCA"/>
    <w:rsid w:val="006F7ABC"/>
    <w:rsid w:val="00721752"/>
    <w:rsid w:val="00721C4C"/>
    <w:rsid w:val="0073290F"/>
    <w:rsid w:val="00735602"/>
    <w:rsid w:val="007537D0"/>
    <w:rsid w:val="0075708F"/>
    <w:rsid w:val="00766470"/>
    <w:rsid w:val="00766BE6"/>
    <w:rsid w:val="00786A49"/>
    <w:rsid w:val="00790ABA"/>
    <w:rsid w:val="007A241A"/>
    <w:rsid w:val="007A5B27"/>
    <w:rsid w:val="007A7C6B"/>
    <w:rsid w:val="007C72A1"/>
    <w:rsid w:val="007D5552"/>
    <w:rsid w:val="007F2124"/>
    <w:rsid w:val="0080479E"/>
    <w:rsid w:val="00830619"/>
    <w:rsid w:val="008518DD"/>
    <w:rsid w:val="00853FE7"/>
    <w:rsid w:val="008633DD"/>
    <w:rsid w:val="0086467B"/>
    <w:rsid w:val="00872D2A"/>
    <w:rsid w:val="00877B75"/>
    <w:rsid w:val="0089230C"/>
    <w:rsid w:val="0089260C"/>
    <w:rsid w:val="008A3578"/>
    <w:rsid w:val="008A4037"/>
    <w:rsid w:val="008C0E5B"/>
    <w:rsid w:val="008D056A"/>
    <w:rsid w:val="008D2760"/>
    <w:rsid w:val="008D7FDF"/>
    <w:rsid w:val="008F210C"/>
    <w:rsid w:val="008F380D"/>
    <w:rsid w:val="00903305"/>
    <w:rsid w:val="00912345"/>
    <w:rsid w:val="00916611"/>
    <w:rsid w:val="00916923"/>
    <w:rsid w:val="00916C2E"/>
    <w:rsid w:val="00925287"/>
    <w:rsid w:val="00930C66"/>
    <w:rsid w:val="00953D61"/>
    <w:rsid w:val="0098759E"/>
    <w:rsid w:val="009B2A5C"/>
    <w:rsid w:val="009D1817"/>
    <w:rsid w:val="009F05A2"/>
    <w:rsid w:val="00A21B75"/>
    <w:rsid w:val="00A2373A"/>
    <w:rsid w:val="00A60F62"/>
    <w:rsid w:val="00A64156"/>
    <w:rsid w:val="00A746B5"/>
    <w:rsid w:val="00A75D5E"/>
    <w:rsid w:val="00A77036"/>
    <w:rsid w:val="00A90687"/>
    <w:rsid w:val="00AA0400"/>
    <w:rsid w:val="00AA3E5F"/>
    <w:rsid w:val="00AB42B8"/>
    <w:rsid w:val="00AB5B88"/>
    <w:rsid w:val="00AB7C45"/>
    <w:rsid w:val="00AC3E48"/>
    <w:rsid w:val="00AC61D9"/>
    <w:rsid w:val="00AC637A"/>
    <w:rsid w:val="00AC7BF5"/>
    <w:rsid w:val="00B010A4"/>
    <w:rsid w:val="00B0502A"/>
    <w:rsid w:val="00B32C13"/>
    <w:rsid w:val="00B4449D"/>
    <w:rsid w:val="00B44990"/>
    <w:rsid w:val="00B52CC9"/>
    <w:rsid w:val="00B71410"/>
    <w:rsid w:val="00B76F23"/>
    <w:rsid w:val="00B9152B"/>
    <w:rsid w:val="00B920DF"/>
    <w:rsid w:val="00BC4812"/>
    <w:rsid w:val="00BD34F1"/>
    <w:rsid w:val="00BD4564"/>
    <w:rsid w:val="00BD7D4B"/>
    <w:rsid w:val="00BE210E"/>
    <w:rsid w:val="00BF25F8"/>
    <w:rsid w:val="00C053C6"/>
    <w:rsid w:val="00C07196"/>
    <w:rsid w:val="00C27065"/>
    <w:rsid w:val="00C42255"/>
    <w:rsid w:val="00C65AA0"/>
    <w:rsid w:val="00C92EA3"/>
    <w:rsid w:val="00C95E49"/>
    <w:rsid w:val="00CA7A6F"/>
    <w:rsid w:val="00CE4E91"/>
    <w:rsid w:val="00CE5427"/>
    <w:rsid w:val="00CF0B8F"/>
    <w:rsid w:val="00CF368E"/>
    <w:rsid w:val="00D4128B"/>
    <w:rsid w:val="00D508E5"/>
    <w:rsid w:val="00D62788"/>
    <w:rsid w:val="00D64C2A"/>
    <w:rsid w:val="00D76F55"/>
    <w:rsid w:val="00D814FB"/>
    <w:rsid w:val="00D82723"/>
    <w:rsid w:val="00D96652"/>
    <w:rsid w:val="00DC0E55"/>
    <w:rsid w:val="00DD4151"/>
    <w:rsid w:val="00E12F88"/>
    <w:rsid w:val="00E301DF"/>
    <w:rsid w:val="00E30F0B"/>
    <w:rsid w:val="00E47BB1"/>
    <w:rsid w:val="00E65314"/>
    <w:rsid w:val="00E74639"/>
    <w:rsid w:val="00EA5192"/>
    <w:rsid w:val="00EA532A"/>
    <w:rsid w:val="00EB4B76"/>
    <w:rsid w:val="00EC1EF7"/>
    <w:rsid w:val="00ED3F1B"/>
    <w:rsid w:val="00EE0BB8"/>
    <w:rsid w:val="00EE2B52"/>
    <w:rsid w:val="00EE558B"/>
    <w:rsid w:val="00EE79FF"/>
    <w:rsid w:val="00F25D1D"/>
    <w:rsid w:val="00F32335"/>
    <w:rsid w:val="00F360AE"/>
    <w:rsid w:val="00F60FA2"/>
    <w:rsid w:val="00F71784"/>
    <w:rsid w:val="00F86DE8"/>
    <w:rsid w:val="00F94B87"/>
    <w:rsid w:val="00FA6570"/>
    <w:rsid w:val="00FD7A3C"/>
    <w:rsid w:val="00FE4988"/>
    <w:rsid w:val="00FF4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96D94D-F5D9-483A-8E1C-A8F95ED0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0C"/>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character" w:styleId="Hyperlink">
    <w:name w:val="Hyperlink"/>
    <w:basedOn w:val="DefaultParagraphFont"/>
    <w:rsid w:val="00086F3D"/>
    <w:rPr>
      <w:color w:val="0000FF"/>
      <w:u w:val="single"/>
    </w:rPr>
  </w:style>
  <w:style w:type="paragraph" w:styleId="BalloonText">
    <w:name w:val="Balloon Text"/>
    <w:basedOn w:val="Normal"/>
    <w:semiHidden/>
    <w:rsid w:val="007D5552"/>
    <w:rPr>
      <w:rFonts w:ascii="Tahoma" w:hAnsi="Tahoma" w:cs="Tahoma"/>
      <w:sz w:val="16"/>
      <w:szCs w:val="16"/>
    </w:rPr>
  </w:style>
  <w:style w:type="paragraph" w:customStyle="1" w:styleId="L1">
    <w:name w:val="_L 1"/>
    <w:next w:val="L2"/>
    <w:link w:val="L1Char"/>
    <w:qFormat/>
    <w:rsid w:val="00AC637A"/>
    <w:pPr>
      <w:keepNext/>
      <w:keepLines/>
      <w:numPr>
        <w:ilvl w:val="1"/>
        <w:numId w:val="4"/>
      </w:numPr>
      <w:spacing w:before="120"/>
      <w:jc w:val="both"/>
    </w:pPr>
    <w:rPr>
      <w:rFonts w:ascii="Arial" w:hAnsi="Arial" w:cs="Arial"/>
      <w:b/>
      <w:sz w:val="24"/>
      <w:szCs w:val="24"/>
    </w:rPr>
  </w:style>
  <w:style w:type="paragraph" w:customStyle="1" w:styleId="L0">
    <w:name w:val="_L 0"/>
    <w:next w:val="L1"/>
    <w:qFormat/>
    <w:rsid w:val="00AC637A"/>
    <w:pPr>
      <w:numPr>
        <w:numId w:val="4"/>
      </w:numPr>
      <w:pBdr>
        <w:top w:val="single" w:sz="4" w:space="4" w:color="auto"/>
        <w:left w:val="single" w:sz="4" w:space="0" w:color="auto"/>
        <w:bottom w:val="single" w:sz="4" w:space="2" w:color="auto"/>
        <w:right w:val="single" w:sz="4" w:space="0" w:color="auto"/>
      </w:pBdr>
      <w:shd w:val="clear" w:color="auto" w:fill="D9D9D9"/>
      <w:jc w:val="center"/>
    </w:pPr>
    <w:rPr>
      <w:rFonts w:ascii="Arial" w:hAnsi="Arial"/>
      <w:b/>
      <w:sz w:val="32"/>
      <w:szCs w:val="32"/>
      <w:lang w:eastAsia="en-US"/>
    </w:rPr>
  </w:style>
  <w:style w:type="paragraph" w:customStyle="1" w:styleId="L4">
    <w:name w:val="_L 4"/>
    <w:qFormat/>
    <w:rsid w:val="00AC637A"/>
    <w:pPr>
      <w:numPr>
        <w:ilvl w:val="4"/>
        <w:numId w:val="4"/>
      </w:numPr>
      <w:spacing w:before="120"/>
      <w:contextualSpacing/>
    </w:pPr>
    <w:rPr>
      <w:rFonts w:ascii="Arial" w:hAnsi="Arial" w:cs="Arial"/>
      <w:sz w:val="24"/>
      <w:szCs w:val="24"/>
      <w:lang w:eastAsia="en-US"/>
    </w:rPr>
  </w:style>
  <w:style w:type="paragraph" w:customStyle="1" w:styleId="L5">
    <w:name w:val="_L 5"/>
    <w:qFormat/>
    <w:rsid w:val="00AC637A"/>
    <w:pPr>
      <w:numPr>
        <w:ilvl w:val="5"/>
        <w:numId w:val="4"/>
      </w:numPr>
      <w:spacing w:before="120"/>
      <w:contextualSpacing/>
    </w:pPr>
    <w:rPr>
      <w:rFonts w:ascii="Arial" w:hAnsi="Arial" w:cs="Arial"/>
      <w:sz w:val="24"/>
      <w:szCs w:val="24"/>
      <w:lang w:eastAsia="en-US"/>
    </w:rPr>
  </w:style>
  <w:style w:type="character" w:customStyle="1" w:styleId="L2Char">
    <w:name w:val="_L 2 Char"/>
    <w:link w:val="L2"/>
    <w:locked/>
    <w:rsid w:val="00AC637A"/>
    <w:rPr>
      <w:rFonts w:ascii="Arial" w:hAnsi="Arial" w:cs="Arial"/>
      <w:sz w:val="24"/>
      <w:szCs w:val="24"/>
      <w:lang w:eastAsia="en-US"/>
    </w:rPr>
  </w:style>
  <w:style w:type="paragraph" w:customStyle="1" w:styleId="L2">
    <w:name w:val="_L 2"/>
    <w:link w:val="L2Char"/>
    <w:qFormat/>
    <w:rsid w:val="00AC637A"/>
    <w:pPr>
      <w:numPr>
        <w:ilvl w:val="2"/>
        <w:numId w:val="4"/>
      </w:numPr>
      <w:spacing w:before="120"/>
      <w:jc w:val="both"/>
    </w:pPr>
    <w:rPr>
      <w:rFonts w:ascii="Arial" w:hAnsi="Arial" w:cs="Arial"/>
      <w:sz w:val="24"/>
      <w:szCs w:val="24"/>
      <w:lang w:eastAsia="en-US"/>
    </w:rPr>
  </w:style>
  <w:style w:type="character" w:customStyle="1" w:styleId="L1Char">
    <w:name w:val="_L 1 Char"/>
    <w:link w:val="L1"/>
    <w:locked/>
    <w:rsid w:val="00AC637A"/>
    <w:rPr>
      <w:rFonts w:ascii="Arial" w:hAnsi="Arial" w:cs="Arial"/>
      <w:b/>
      <w:sz w:val="24"/>
      <w:szCs w:val="24"/>
    </w:rPr>
  </w:style>
  <w:style w:type="paragraph" w:customStyle="1" w:styleId="L3">
    <w:name w:val="_L 3"/>
    <w:qFormat/>
    <w:rsid w:val="00AC637A"/>
    <w:pPr>
      <w:numPr>
        <w:ilvl w:val="3"/>
        <w:numId w:val="4"/>
      </w:numPr>
      <w:spacing w:before="120"/>
      <w:jc w:val="both"/>
    </w:pPr>
    <w:rPr>
      <w:rFonts w:ascii="Arial" w:hAnsi="Arial" w:cs="Arial"/>
      <w:sz w:val="24"/>
      <w:szCs w:val="24"/>
      <w:lang w:eastAsia="en-US"/>
    </w:rPr>
  </w:style>
  <w:style w:type="paragraph" w:customStyle="1" w:styleId="Li1Italic">
    <w:name w:val="_Li1 Italic"/>
    <w:qFormat/>
    <w:rsid w:val="00AC637A"/>
    <w:pPr>
      <w:numPr>
        <w:ilvl w:val="6"/>
        <w:numId w:val="4"/>
      </w:numPr>
      <w:spacing w:before="120" w:after="120"/>
    </w:pPr>
    <w:rPr>
      <w:rFonts w:ascii="Arial" w:hAnsi="Arial" w:cs="Arial"/>
      <w:sz w:val="24"/>
      <w:szCs w:val="24"/>
    </w:rPr>
  </w:style>
  <w:style w:type="paragraph" w:customStyle="1" w:styleId="Li2Italic">
    <w:name w:val="_Li2 Italic"/>
    <w:qFormat/>
    <w:rsid w:val="00AC637A"/>
    <w:pPr>
      <w:numPr>
        <w:ilvl w:val="7"/>
        <w:numId w:val="4"/>
      </w:numPr>
      <w:spacing w:before="120" w:after="120"/>
    </w:pPr>
    <w:rPr>
      <w:rFonts w:ascii="Arial" w:hAnsi="Arial" w:cs="Arial"/>
      <w:sz w:val="24"/>
      <w:szCs w:val="24"/>
      <w:lang w:eastAsia="en-US"/>
    </w:rPr>
  </w:style>
  <w:style w:type="paragraph" w:customStyle="1" w:styleId="Li3Italic">
    <w:name w:val="_Li3 Italic"/>
    <w:qFormat/>
    <w:rsid w:val="00AC637A"/>
    <w:pPr>
      <w:numPr>
        <w:ilvl w:val="8"/>
        <w:numId w:val="4"/>
      </w:numPr>
      <w:spacing w:before="120" w:after="120"/>
    </w:pPr>
    <w:rPr>
      <w:rFonts w:ascii="Arial" w:hAnsi="Arial" w:cs="Arial"/>
      <w:sz w:val="24"/>
      <w:szCs w:val="24"/>
      <w:lang w:eastAsia="en-US"/>
    </w:rPr>
  </w:style>
  <w:style w:type="numbering" w:customStyle="1" w:styleId="LxListStyle">
    <w:name w:val="__Lx List Style"/>
    <w:rsid w:val="00AC637A"/>
    <w:pPr>
      <w:numPr>
        <w:numId w:val="4"/>
      </w:numPr>
    </w:pPr>
  </w:style>
  <w:style w:type="paragraph" w:styleId="ListParagraph">
    <w:name w:val="List Paragraph"/>
    <w:basedOn w:val="Normal"/>
    <w:uiPriority w:val="34"/>
    <w:qFormat/>
    <w:rsid w:val="008F2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70709">
      <w:bodyDiv w:val="1"/>
      <w:marLeft w:val="0"/>
      <w:marRight w:val="0"/>
      <w:marTop w:val="0"/>
      <w:marBottom w:val="0"/>
      <w:divBdr>
        <w:top w:val="none" w:sz="0" w:space="0" w:color="auto"/>
        <w:left w:val="none" w:sz="0" w:space="0" w:color="auto"/>
        <w:bottom w:val="none" w:sz="0" w:space="0" w:color="auto"/>
        <w:right w:val="none" w:sz="0" w:space="0" w:color="auto"/>
      </w:divBdr>
    </w:div>
    <w:div w:id="769857475">
      <w:bodyDiv w:val="1"/>
      <w:marLeft w:val="0"/>
      <w:marRight w:val="0"/>
      <w:marTop w:val="0"/>
      <w:marBottom w:val="0"/>
      <w:divBdr>
        <w:top w:val="none" w:sz="0" w:space="0" w:color="auto"/>
        <w:left w:val="none" w:sz="0" w:space="0" w:color="auto"/>
        <w:bottom w:val="none" w:sz="0" w:space="0" w:color="auto"/>
        <w:right w:val="none" w:sz="0" w:space="0" w:color="auto"/>
      </w:divBdr>
    </w:div>
    <w:div w:id="986006717">
      <w:bodyDiv w:val="1"/>
      <w:marLeft w:val="0"/>
      <w:marRight w:val="0"/>
      <w:marTop w:val="0"/>
      <w:marBottom w:val="0"/>
      <w:divBdr>
        <w:top w:val="none" w:sz="0" w:space="0" w:color="auto"/>
        <w:left w:val="none" w:sz="0" w:space="0" w:color="auto"/>
        <w:bottom w:val="none" w:sz="0" w:space="0" w:color="auto"/>
        <w:right w:val="none" w:sz="0" w:space="0" w:color="auto"/>
      </w:divBdr>
    </w:div>
    <w:div w:id="1353267300">
      <w:bodyDiv w:val="1"/>
      <w:marLeft w:val="0"/>
      <w:marRight w:val="0"/>
      <w:marTop w:val="0"/>
      <w:marBottom w:val="0"/>
      <w:divBdr>
        <w:top w:val="none" w:sz="0" w:space="0" w:color="auto"/>
        <w:left w:val="none" w:sz="0" w:space="0" w:color="auto"/>
        <w:bottom w:val="none" w:sz="0" w:space="0" w:color="auto"/>
        <w:right w:val="none" w:sz="0" w:space="0" w:color="auto"/>
      </w:divBdr>
    </w:div>
    <w:div w:id="149444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turton@mansfiel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4991F-5DC4-4002-B712-C74E74BC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TotalTime>
  <Pages>4</Pages>
  <Words>875</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5630</CharactersWithSpaces>
  <SharedDoc>false</SharedDoc>
  <HLinks>
    <vt:vector size="6" baseType="variant">
      <vt:variant>
        <vt:i4>852079</vt:i4>
      </vt:variant>
      <vt:variant>
        <vt:i4>0</vt:i4>
      </vt:variant>
      <vt:variant>
        <vt:i4>0</vt:i4>
      </vt:variant>
      <vt:variant>
        <vt:i4>5</vt:i4>
      </vt:variant>
      <vt:variant>
        <vt:lpwstr>mailto:dashcroft@mansfield.gov.uk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creator>pbacon</dc:creator>
  <cp:lastModifiedBy>Gabriella Wright</cp:lastModifiedBy>
  <cp:revision>2</cp:revision>
  <cp:lastPrinted>2016-04-13T08:34:00Z</cp:lastPrinted>
  <dcterms:created xsi:type="dcterms:W3CDTF">2021-07-08T15:42:00Z</dcterms:created>
  <dcterms:modified xsi:type="dcterms:W3CDTF">2021-07-08T15:42:00Z</dcterms:modified>
</cp:coreProperties>
</file>